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194" w:rsidRPr="00A90194" w:rsidRDefault="00A90194" w:rsidP="00A90194">
      <w:pPr>
        <w:rPr>
          <w:b/>
          <w:sz w:val="22"/>
          <w:szCs w:val="22"/>
          <w:lang w:eastAsia="en-US"/>
        </w:rPr>
      </w:pPr>
      <w:r w:rsidRPr="00746141">
        <w:rPr>
          <w:b/>
          <w:sz w:val="22"/>
          <w:szCs w:val="22"/>
          <w:lang w:val="uk-UA" w:eastAsia="en-US"/>
        </w:rPr>
        <w:t>Податкові новації в адмініструванні податку на доходи фізичних осіб</w:t>
      </w:r>
    </w:p>
    <w:p w:rsidR="00A90194" w:rsidRPr="00A90194" w:rsidRDefault="00A90194" w:rsidP="00A90194">
      <w:pPr>
        <w:rPr>
          <w:sz w:val="22"/>
          <w:szCs w:val="22"/>
          <w:lang w:eastAsia="en-US"/>
        </w:rPr>
      </w:pPr>
    </w:p>
    <w:p w:rsidR="00A90194" w:rsidRPr="00901D4A" w:rsidRDefault="00A90194" w:rsidP="00A90194">
      <w:pPr>
        <w:pStyle w:val="a3"/>
        <w:shd w:val="clear" w:color="auto" w:fill="FFFFFF"/>
        <w:spacing w:before="0" w:beforeAutospacing="0" w:after="225" w:afterAutospacing="0"/>
        <w:ind w:firstLine="720"/>
        <w:jc w:val="both"/>
        <w:rPr>
          <w:sz w:val="22"/>
          <w:szCs w:val="22"/>
          <w:lang w:val="uk-UA" w:eastAsia="en-US"/>
        </w:rPr>
      </w:pPr>
      <w:proofErr w:type="spellStart"/>
      <w:r w:rsidRPr="00901D4A">
        <w:rPr>
          <w:sz w:val="22"/>
          <w:szCs w:val="22"/>
          <w:lang w:val="uk-UA" w:eastAsia="en-US"/>
        </w:rPr>
        <w:t>Старобільське</w:t>
      </w:r>
      <w:proofErr w:type="spellEnd"/>
      <w:r w:rsidRPr="00901D4A">
        <w:rPr>
          <w:sz w:val="22"/>
          <w:szCs w:val="22"/>
          <w:lang w:val="uk-UA" w:eastAsia="en-US"/>
        </w:rPr>
        <w:t xml:space="preserve"> управління Головного управління  ДПС у Луганській області  повідомляє, що із введенням в дію Закону України від 16.01.2020 № 466-ІХ «Про внесення змін до Податкового кодексу України щодо вдосконалення адміністрування податків, усунення технічних та логічних </w:t>
      </w:r>
      <w:proofErr w:type="spellStart"/>
      <w:r w:rsidRPr="00901D4A">
        <w:rPr>
          <w:sz w:val="22"/>
          <w:szCs w:val="22"/>
          <w:lang w:val="uk-UA" w:eastAsia="en-US"/>
        </w:rPr>
        <w:t>неузгодженостей</w:t>
      </w:r>
      <w:proofErr w:type="spellEnd"/>
      <w:r w:rsidRPr="00901D4A">
        <w:rPr>
          <w:sz w:val="22"/>
          <w:szCs w:val="22"/>
          <w:lang w:val="uk-UA" w:eastAsia="en-US"/>
        </w:rPr>
        <w:t xml:space="preserve"> у податковому законодавстві» набрали чинності зміни в оподаткуванні доходів фізичних осіб.</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proofErr w:type="spellStart"/>
      <w:r w:rsidRPr="00901D4A">
        <w:rPr>
          <w:sz w:val="22"/>
          <w:szCs w:val="22"/>
          <w:lang w:val="uk-UA" w:eastAsia="en-US"/>
        </w:rPr>
        <w:t>Фізособам</w:t>
      </w:r>
      <w:proofErr w:type="spellEnd"/>
      <w:r w:rsidRPr="00901D4A">
        <w:rPr>
          <w:sz w:val="22"/>
          <w:szCs w:val="22"/>
          <w:lang w:val="uk-UA" w:eastAsia="en-US"/>
        </w:rPr>
        <w:t xml:space="preserve"> при отриманні винагород та інших виплат за цивільно-правовими договорами від </w:t>
      </w:r>
      <w:proofErr w:type="spellStart"/>
      <w:r w:rsidRPr="00901D4A">
        <w:rPr>
          <w:sz w:val="22"/>
          <w:szCs w:val="22"/>
          <w:lang w:val="uk-UA" w:eastAsia="en-US"/>
        </w:rPr>
        <w:t>фізосіб</w:t>
      </w:r>
      <w:proofErr w:type="spellEnd"/>
      <w:r w:rsidRPr="00901D4A">
        <w:rPr>
          <w:sz w:val="22"/>
          <w:szCs w:val="22"/>
          <w:lang w:val="uk-UA" w:eastAsia="en-US"/>
        </w:rPr>
        <w:t xml:space="preserve"> - платників єдиного податку четвертої групи не потрібно подавати декларацію про доходи за звітний рік і самостійно сплачувати ПДФО.</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Суму відшкодування моральної шкоди дозволено не включати до місячного оподатковуваного доходу в розмірі, встановленому в рішенні суду. Але, ця сума не повинна перевищувати чотирикратного розміру мінімальної заробітної плати, встановленої на 1 січня звітного податкового року, або розмір, визначений законом.</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proofErr w:type="spellStart"/>
      <w:r w:rsidRPr="00901D4A">
        <w:rPr>
          <w:sz w:val="22"/>
          <w:szCs w:val="22"/>
          <w:lang w:val="uk-UA" w:eastAsia="en-US"/>
        </w:rPr>
        <w:t>Фізособи</w:t>
      </w:r>
      <w:proofErr w:type="spellEnd"/>
      <w:r w:rsidRPr="00901D4A">
        <w:rPr>
          <w:sz w:val="22"/>
          <w:szCs w:val="22"/>
          <w:lang w:val="uk-UA" w:eastAsia="en-US"/>
        </w:rPr>
        <w:t xml:space="preserve"> можуть отримати розстрочку на сплату ПДФО тільки в разі прощення основної суми боргу по іпотечних кредитах до закінчення строків позовної давності. До внесення змін розстрочку можна було отримати і в разі вибачення суми відсотків.</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xml:space="preserve">Не оподаткується сума страхових (регламентних) виплат, страхових </w:t>
      </w:r>
      <w:proofErr w:type="spellStart"/>
      <w:r w:rsidRPr="00901D4A">
        <w:rPr>
          <w:sz w:val="22"/>
          <w:szCs w:val="22"/>
          <w:lang w:val="uk-UA" w:eastAsia="en-US"/>
        </w:rPr>
        <w:t>відшкодувань</w:t>
      </w:r>
      <w:proofErr w:type="spellEnd"/>
      <w:r w:rsidRPr="00901D4A">
        <w:rPr>
          <w:sz w:val="22"/>
          <w:szCs w:val="22"/>
          <w:lang w:val="uk-UA" w:eastAsia="en-US"/>
        </w:rPr>
        <w:t xml:space="preserve">, що здійснюються Моторним (транспортним) страховим бюро України відповідно до Закону від 01.07.04 № 1961-IV «Про обов'язкове страхування цивільно-правової відповідальності власників наземних транспортних засобів». Однак така сума не може перевищувати розмір шкоди, фактично заподіяної </w:t>
      </w:r>
      <w:proofErr w:type="spellStart"/>
      <w:r w:rsidRPr="00901D4A">
        <w:rPr>
          <w:sz w:val="22"/>
          <w:szCs w:val="22"/>
          <w:lang w:val="uk-UA" w:eastAsia="en-US"/>
        </w:rPr>
        <w:t>вигодонабувачу</w:t>
      </w:r>
      <w:proofErr w:type="spellEnd"/>
      <w:r w:rsidRPr="00901D4A">
        <w:rPr>
          <w:sz w:val="22"/>
          <w:szCs w:val="22"/>
          <w:lang w:val="uk-UA" w:eastAsia="en-US"/>
        </w:rPr>
        <w:t xml:space="preserve"> (</w:t>
      </w:r>
      <w:proofErr w:type="spellStart"/>
      <w:r w:rsidRPr="00901D4A">
        <w:rPr>
          <w:sz w:val="22"/>
          <w:szCs w:val="22"/>
          <w:lang w:val="uk-UA" w:eastAsia="en-US"/>
        </w:rPr>
        <w:t>бенефіціару</w:t>
      </w:r>
      <w:proofErr w:type="spellEnd"/>
      <w:r w:rsidRPr="00901D4A">
        <w:rPr>
          <w:sz w:val="22"/>
          <w:szCs w:val="22"/>
          <w:lang w:val="uk-UA" w:eastAsia="en-US"/>
        </w:rPr>
        <w:t>), що визначається за звичайними цінами на дату такої страхової виплати.</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xml:space="preserve">       Уточнено, що для отримання права на податкову </w:t>
      </w:r>
      <w:proofErr w:type="spellStart"/>
      <w:r w:rsidRPr="00901D4A">
        <w:rPr>
          <w:sz w:val="22"/>
          <w:szCs w:val="22"/>
          <w:lang w:val="uk-UA" w:eastAsia="en-US"/>
        </w:rPr>
        <w:t>знижкукопія</w:t>
      </w:r>
      <w:proofErr w:type="spellEnd"/>
      <w:r w:rsidRPr="00901D4A">
        <w:rPr>
          <w:sz w:val="22"/>
          <w:szCs w:val="22"/>
          <w:lang w:val="uk-UA" w:eastAsia="en-US"/>
        </w:rPr>
        <w:t xml:space="preserve"> договору подається тільки при наявності договору. Тобто якщо договір не укладався, то і копія не потрібна. У такому випадку подаються лише платіжні і розрахункових документів, які ідентифікують продавця товарів (робіт, послуг) і особу, яка звертається за отриманням податкової знижки (їх покупця /отримувача).</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Змінено штраф за неповідомлення нотаріусами інформації про укладення договорів оренди нерухомості. Порядок застосування штрафних санкцій визначений в спеціальній ст. 1191 Податкового кодексу. Розмір такого штрафу складе: 680 грн за перше порушення і 1 360 грн за кожне наступне протягом року порушення. Аналогічні штрафи чекають діють для посередників зі здачі нерухомості в оренду.</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xml:space="preserve">        </w:t>
      </w:r>
      <w:proofErr w:type="spellStart"/>
      <w:r w:rsidRPr="00901D4A">
        <w:rPr>
          <w:sz w:val="22"/>
          <w:szCs w:val="22"/>
          <w:lang w:val="uk-UA" w:eastAsia="en-US"/>
        </w:rPr>
        <w:t>Продажем</w:t>
      </w:r>
      <w:proofErr w:type="spellEnd"/>
      <w:r w:rsidRPr="00901D4A">
        <w:rPr>
          <w:sz w:val="22"/>
          <w:szCs w:val="22"/>
          <w:lang w:val="uk-UA" w:eastAsia="en-US"/>
        </w:rPr>
        <w:t xml:space="preserve"> інвестиційного активу нині вважається повернення платнику податку коштів або майна (майнових прав), раніше внесених ним (або особою, у якого інвестиційний актив був придбаний прямо або побічно) до статутного капіталу емітента корпоративних прав, в разі зменшення статутного капіталу такого емітента.</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xml:space="preserve">Крім того, якщо інвестиційний актив продається нерезидентам- пов'язаним особам або нерезидентам, операції з якими контролюються згідно з </w:t>
      </w:r>
      <w:proofErr w:type="spellStart"/>
      <w:r w:rsidRPr="00901D4A">
        <w:rPr>
          <w:sz w:val="22"/>
          <w:szCs w:val="22"/>
          <w:lang w:val="uk-UA" w:eastAsia="en-US"/>
        </w:rPr>
        <w:t>пп</w:t>
      </w:r>
      <w:proofErr w:type="spellEnd"/>
      <w:r w:rsidRPr="00901D4A">
        <w:rPr>
          <w:sz w:val="22"/>
          <w:szCs w:val="22"/>
          <w:lang w:val="uk-UA" w:eastAsia="en-US"/>
        </w:rPr>
        <w:t xml:space="preserve">. 39.2.1.2 Кодексу, або </w:t>
      </w:r>
      <w:proofErr w:type="spellStart"/>
      <w:r w:rsidRPr="00901D4A">
        <w:rPr>
          <w:sz w:val="22"/>
          <w:szCs w:val="22"/>
          <w:lang w:val="uk-UA" w:eastAsia="en-US"/>
        </w:rPr>
        <w:t>придбаваєтьсяу</w:t>
      </w:r>
      <w:proofErr w:type="spellEnd"/>
      <w:r w:rsidRPr="00901D4A">
        <w:rPr>
          <w:sz w:val="22"/>
          <w:szCs w:val="22"/>
          <w:lang w:val="uk-UA" w:eastAsia="en-US"/>
        </w:rPr>
        <w:t xml:space="preserve"> таких нерезидентів, то в цьому випадку:</w:t>
      </w:r>
    </w:p>
    <w:p w:rsidR="00A90194" w:rsidRPr="00901D4A" w:rsidRDefault="00A90194" w:rsidP="00A90194">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 доходи від продажу визначаються в розмірі не нижче звичайної ціни;</w:t>
      </w:r>
    </w:p>
    <w:p w:rsidR="00A90194" w:rsidRPr="00901D4A" w:rsidRDefault="00A90194" w:rsidP="00A90194">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 витрати на придбання - в розмірі не вище звичайної ціни.</w:t>
      </w:r>
    </w:p>
    <w:p w:rsidR="00A90194" w:rsidRPr="00901D4A" w:rsidRDefault="00A90194" w:rsidP="00A90194">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 xml:space="preserve"> Ці правила визначення доходів і витрат не поширюються на операції з продажу </w:t>
      </w:r>
      <w:proofErr w:type="spellStart"/>
      <w:r w:rsidRPr="00901D4A">
        <w:rPr>
          <w:sz w:val="22"/>
          <w:szCs w:val="22"/>
          <w:lang w:val="uk-UA" w:eastAsia="en-US"/>
        </w:rPr>
        <w:t>інвестактиву</w:t>
      </w:r>
      <w:proofErr w:type="spellEnd"/>
      <w:r w:rsidRPr="00901D4A">
        <w:rPr>
          <w:sz w:val="22"/>
          <w:szCs w:val="22"/>
          <w:lang w:val="uk-UA" w:eastAsia="en-US"/>
        </w:rPr>
        <w:t>, якщо: покупець - іноземна компанія, прямо або побічно контрольована продавцем-</w:t>
      </w:r>
      <w:proofErr w:type="spellStart"/>
      <w:r w:rsidRPr="00901D4A">
        <w:rPr>
          <w:sz w:val="22"/>
          <w:szCs w:val="22"/>
          <w:lang w:val="uk-UA" w:eastAsia="en-US"/>
        </w:rPr>
        <w:t>фізособою</w:t>
      </w:r>
      <w:proofErr w:type="spellEnd"/>
      <w:r w:rsidRPr="00901D4A">
        <w:rPr>
          <w:sz w:val="22"/>
          <w:szCs w:val="22"/>
          <w:lang w:val="uk-UA" w:eastAsia="en-US"/>
        </w:rPr>
        <w:t xml:space="preserve"> або покупець залишається власником інвестиційного активу на кінець року, в якому актив був придбаний.</w:t>
      </w:r>
    </w:p>
    <w:p w:rsidR="00A90194" w:rsidRPr="00901D4A" w:rsidRDefault="00A90194" w:rsidP="00A90194">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 xml:space="preserve"> До переліку об'єктів нерухомості, продаж (обмін) яких не обкладається ПДФО при виконанні умов з </w:t>
      </w:r>
      <w:proofErr w:type="spellStart"/>
      <w:r w:rsidRPr="00901D4A">
        <w:rPr>
          <w:sz w:val="22"/>
          <w:szCs w:val="22"/>
          <w:lang w:val="uk-UA" w:eastAsia="en-US"/>
        </w:rPr>
        <w:t>пп</w:t>
      </w:r>
      <w:proofErr w:type="spellEnd"/>
      <w:r w:rsidRPr="00901D4A">
        <w:rPr>
          <w:sz w:val="22"/>
          <w:szCs w:val="22"/>
          <w:lang w:val="uk-UA" w:eastAsia="en-US"/>
        </w:rPr>
        <w:t>. 172.2.1, включені об'єкти незавершеного будівництва.</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Відбулися зміни у оподаткуванні продажу рухомого майна. Так зокрема, другий продаж (обмін) протягом звітного року одного з таких об'єктів рухомого майна, як легковий автомобіль і/або мотоцикл, і/або мопед або інший транспортний засіб, оподатковується за ставкою 5%. А дохід від продажу (обміну) протягом звітного (податкового) року третього і наступних таких об'єктів рухомого майна оподатковується за ставкою 18%.</w:t>
      </w:r>
    </w:p>
    <w:p w:rsidR="00A90194" w:rsidRPr="00901D4A" w:rsidRDefault="00A90194" w:rsidP="00A90194">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lastRenderedPageBreak/>
        <w:t> За неподання форми № 1ДФ нова редакція Податкового кодексу передбачає штраф у розмірі 1 020 грн (за перше порушення).</w:t>
      </w:r>
    </w:p>
    <w:p w:rsidR="00A90194" w:rsidRPr="00746141" w:rsidRDefault="00A90194" w:rsidP="00A90194">
      <w:pPr>
        <w:ind w:firstLine="6379"/>
        <w:rPr>
          <w:b/>
          <w:sz w:val="22"/>
          <w:szCs w:val="22"/>
          <w:lang w:val="uk-UA" w:eastAsia="en-US"/>
        </w:rPr>
      </w:pPr>
      <w:proofErr w:type="spellStart"/>
      <w:r w:rsidRPr="00746141">
        <w:rPr>
          <w:b/>
          <w:sz w:val="22"/>
          <w:szCs w:val="22"/>
          <w:lang w:val="uk-UA" w:eastAsia="en-US"/>
        </w:rPr>
        <w:t>Старобільське</w:t>
      </w:r>
      <w:proofErr w:type="spellEnd"/>
      <w:r w:rsidRPr="00746141">
        <w:rPr>
          <w:b/>
          <w:sz w:val="22"/>
          <w:szCs w:val="22"/>
          <w:lang w:val="uk-UA" w:eastAsia="en-US"/>
        </w:rPr>
        <w:t xml:space="preserve"> управління</w:t>
      </w:r>
    </w:p>
    <w:p w:rsidR="00771E34" w:rsidRDefault="00771E34">
      <w:bookmarkStart w:id="0" w:name="_GoBack"/>
      <w:bookmarkEnd w:id="0"/>
    </w:p>
    <w:sectPr w:rsidR="00771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67C19"/>
    <w:rsid w:val="001710E8"/>
    <w:rsid w:val="00230D8C"/>
    <w:rsid w:val="00771E34"/>
    <w:rsid w:val="00A90194"/>
    <w:rsid w:val="00B5686A"/>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E2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2020-07-17T11:25:00Z</dcterms:created>
  <dcterms:modified xsi:type="dcterms:W3CDTF">2020-07-20T08:03:00Z</dcterms:modified>
</cp:coreProperties>
</file>