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62" w:rsidRPr="00B56A98" w:rsidRDefault="00321C62" w:rsidP="00321C62">
      <w:pPr>
        <w:shd w:val="clear" w:color="auto" w:fill="FFFFFF"/>
        <w:spacing w:line="180" w:lineRule="atLeast"/>
        <w:jc w:val="center"/>
        <w:rPr>
          <w:b/>
          <w:color w:val="333333"/>
          <w:lang w:eastAsia="ru-RU"/>
        </w:rPr>
      </w:pPr>
      <w:r w:rsidRPr="00B56A98">
        <w:rPr>
          <w:b/>
          <w:color w:val="333333"/>
          <w:lang w:eastAsia="ru-RU"/>
        </w:rPr>
        <w:t>Закон України №466: на основні засоби за період їх модернізації амортизація не нараховується</w:t>
      </w:r>
    </w:p>
    <w:p w:rsidR="00321C62" w:rsidRPr="00B56A98" w:rsidRDefault="00321C62" w:rsidP="00321C62">
      <w:pPr>
        <w:shd w:val="clear" w:color="auto" w:fill="FFFFFF"/>
        <w:spacing w:line="180" w:lineRule="atLeast"/>
        <w:ind w:firstLine="720"/>
        <w:rPr>
          <w:color w:val="333333"/>
          <w:lang w:eastAsia="ru-RU"/>
        </w:rPr>
      </w:pPr>
      <w:r w:rsidRPr="00B56A98">
        <w:rPr>
          <w:color w:val="333333"/>
          <w:lang w:eastAsia="ru-RU"/>
        </w:rPr>
        <w:t>Старобільське управління Головного управління ДПС у Луганській області повідомляє, що відповідно до п.п. 134.1.1 п. 134.1 ст. 134 Податкового кодексу України (далі – ПКУ) об’єктом оподаткування податком на прибуток підприємств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ПКУ.</w:t>
      </w:r>
    </w:p>
    <w:p w:rsidR="00321C62" w:rsidRPr="00B56A98" w:rsidRDefault="00321C62" w:rsidP="00321C62">
      <w:pPr>
        <w:pStyle w:val="a3"/>
        <w:shd w:val="clear" w:color="auto" w:fill="FFFFFF"/>
        <w:spacing w:before="0" w:beforeAutospacing="0" w:after="225" w:afterAutospacing="0"/>
        <w:ind w:firstLine="720"/>
        <w:jc w:val="both"/>
        <w:rPr>
          <w:color w:val="333333"/>
          <w:sz w:val="22"/>
          <w:szCs w:val="22"/>
        </w:rPr>
      </w:pPr>
      <w:r w:rsidRPr="00B56A98">
        <w:rPr>
          <w:color w:val="333333"/>
          <w:sz w:val="22"/>
          <w:szCs w:val="22"/>
        </w:rPr>
        <w:t>Порядок розрахунку амортизації основних засобів або нематеріальних активів для визначення об’єкта оподаткування встановлено п. 138.3 ст. 138 ПКУ.</w:t>
      </w:r>
    </w:p>
    <w:p w:rsidR="00321C62" w:rsidRPr="00B56A98" w:rsidRDefault="00321C62" w:rsidP="00321C62">
      <w:pPr>
        <w:pStyle w:val="a3"/>
        <w:shd w:val="clear" w:color="auto" w:fill="FFFFFF"/>
        <w:spacing w:before="0" w:beforeAutospacing="0" w:after="225" w:afterAutospacing="0"/>
        <w:ind w:firstLine="720"/>
        <w:jc w:val="both"/>
        <w:rPr>
          <w:color w:val="333333"/>
          <w:sz w:val="22"/>
          <w:szCs w:val="22"/>
        </w:rPr>
      </w:pPr>
      <w:r w:rsidRPr="00B56A98">
        <w:rPr>
          <w:color w:val="333333"/>
          <w:sz w:val="22"/>
          <w:szCs w:val="22"/>
        </w:rPr>
        <w:t>Законом України від 16 січня 2020 року № 466-IХ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(далі – Закон № 466) внесено зміни, зокрема до ст. 138 ПКУ</w:t>
      </w:r>
    </w:p>
    <w:p w:rsidR="00321C62" w:rsidRPr="00B56A98" w:rsidRDefault="00321C62" w:rsidP="00321C62">
      <w:pPr>
        <w:pStyle w:val="a3"/>
        <w:shd w:val="clear" w:color="auto" w:fill="FFFFFF"/>
        <w:spacing w:before="0" w:beforeAutospacing="0" w:after="225" w:afterAutospacing="0"/>
        <w:ind w:firstLine="720"/>
        <w:jc w:val="both"/>
        <w:rPr>
          <w:color w:val="333333"/>
          <w:sz w:val="22"/>
          <w:szCs w:val="22"/>
        </w:rPr>
      </w:pPr>
      <w:r w:rsidRPr="00B56A98">
        <w:rPr>
          <w:color w:val="333333"/>
          <w:sz w:val="22"/>
          <w:szCs w:val="22"/>
        </w:rPr>
        <w:t>Згідно з оновленим Законом № 466 п.п. 138.3.1 п. 138.3 ст. 138 ПКУ розрахунок амортизації основних засобів та нематеріальних активів здійснюється відповідно до національних положень (стандартів) бухгалтерського обліку або міжнародних стандартів фінансової звітності з урахуванням обмежень, встановлених п.п. 14.1.138 п. 14.1 ст. 14 ПКУ, підпунктами 138.3.2 – 138.3.4 п. 138.3 ст. 138 ПКУ. При такому розрахунку застосовуються методи нарахування амортизації, передбачені національними положеннями (стандартами) бухгалтерського обліку.</w:t>
      </w:r>
    </w:p>
    <w:p w:rsidR="00321C62" w:rsidRPr="00B56A98" w:rsidRDefault="00321C62" w:rsidP="00321C62">
      <w:pPr>
        <w:pStyle w:val="a3"/>
        <w:shd w:val="clear" w:color="auto" w:fill="FFFFFF"/>
        <w:spacing w:before="0" w:beforeAutospacing="0" w:after="0" w:afterAutospacing="0"/>
        <w:ind w:firstLine="720"/>
        <w:jc w:val="both"/>
        <w:rPr>
          <w:color w:val="333333"/>
          <w:sz w:val="22"/>
          <w:szCs w:val="22"/>
        </w:rPr>
      </w:pPr>
      <w:r w:rsidRPr="00B56A98">
        <w:rPr>
          <w:color w:val="333333"/>
          <w:sz w:val="22"/>
          <w:szCs w:val="22"/>
        </w:rPr>
        <w:t>Для розрахунку амортизації відповідно до положень п. 138.3 ст. 138 ПКУ визначається вартість основних засобів та нематеріальних активів без урахування їх переоцінки (уцінки, дооцінки), проведеної відповідно до положень бухгалтерського обліку.</w:t>
      </w:r>
    </w:p>
    <w:p w:rsidR="00321C62" w:rsidRPr="00B56A98" w:rsidRDefault="00321C62" w:rsidP="00321C62">
      <w:pPr>
        <w:pStyle w:val="a3"/>
        <w:shd w:val="clear" w:color="auto" w:fill="FFFFFF"/>
        <w:spacing w:before="0" w:beforeAutospacing="0" w:after="225" w:afterAutospacing="0"/>
        <w:ind w:firstLine="720"/>
        <w:jc w:val="both"/>
        <w:rPr>
          <w:color w:val="333333"/>
          <w:sz w:val="22"/>
          <w:szCs w:val="22"/>
        </w:rPr>
      </w:pPr>
      <w:r w:rsidRPr="00B56A98">
        <w:rPr>
          <w:color w:val="333333"/>
          <w:sz w:val="22"/>
          <w:szCs w:val="22"/>
        </w:rPr>
        <w:t>Амортизація не нараховується за період невикористання (експлуатації) основних засобів у господарській діяльності у зв’язку з їх модернізацією, реконструкцією, добудовою, дообладнанням та консервацією.</w:t>
      </w:r>
    </w:p>
    <w:p w:rsidR="00321C62" w:rsidRPr="00B56A98" w:rsidRDefault="00321C62" w:rsidP="00321C62">
      <w:pPr>
        <w:pStyle w:val="a3"/>
        <w:shd w:val="clear" w:color="auto" w:fill="FFFFFF"/>
        <w:spacing w:before="0" w:beforeAutospacing="0" w:after="225" w:afterAutospacing="0"/>
        <w:ind w:firstLine="720"/>
        <w:jc w:val="both"/>
        <w:rPr>
          <w:color w:val="333333"/>
          <w:sz w:val="22"/>
          <w:szCs w:val="22"/>
        </w:rPr>
      </w:pPr>
      <w:r w:rsidRPr="00B56A98">
        <w:rPr>
          <w:color w:val="333333"/>
          <w:sz w:val="22"/>
          <w:szCs w:val="22"/>
        </w:rPr>
        <w:t>Отже, якщо основні засоби не використовуються у господарській діяльності платника податку у зв’язку з їх модернізацією, реконструкцією, добудовою, дообладнанням та консервацією, то у податковому обліку амортизація на такі основні засоби не нараховується.</w:t>
      </w:r>
    </w:p>
    <w:p w:rsidR="00321C62" w:rsidRPr="00B56A98" w:rsidRDefault="00321C62" w:rsidP="00321C62">
      <w:pPr>
        <w:pStyle w:val="a3"/>
        <w:shd w:val="clear" w:color="auto" w:fill="FFFFFF"/>
        <w:spacing w:before="0" w:beforeAutospacing="0" w:after="225" w:afterAutospacing="0"/>
        <w:ind w:firstLine="5954"/>
        <w:jc w:val="both"/>
        <w:rPr>
          <w:b/>
          <w:color w:val="333333"/>
          <w:sz w:val="22"/>
          <w:szCs w:val="22"/>
        </w:rPr>
      </w:pPr>
      <w:r w:rsidRPr="00B56A98">
        <w:rPr>
          <w:b/>
          <w:color w:val="333333"/>
          <w:sz w:val="22"/>
          <w:szCs w:val="22"/>
        </w:rPr>
        <w:t>Старобільське управління</w:t>
      </w:r>
    </w:p>
    <w:p w:rsidR="008B06F9" w:rsidRPr="00D4202B" w:rsidRDefault="008B06F9">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A6F" w:rsidRDefault="00160A6F">
      <w:r>
        <w:separator/>
      </w:r>
    </w:p>
  </w:endnote>
  <w:endnote w:type="continuationSeparator" w:id="0">
    <w:p w:rsidR="00160A6F" w:rsidRDefault="0016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A6F" w:rsidRDefault="00160A6F">
      <w:r>
        <w:separator/>
      </w:r>
    </w:p>
  </w:footnote>
  <w:footnote w:type="continuationSeparator" w:id="0">
    <w:p w:rsidR="00160A6F" w:rsidRDefault="00160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60A6F"/>
    <w:rsid w:val="001710E8"/>
    <w:rsid w:val="00230D8C"/>
    <w:rsid w:val="00321C62"/>
    <w:rsid w:val="00771E34"/>
    <w:rsid w:val="007C48DA"/>
    <w:rsid w:val="008B06F9"/>
    <w:rsid w:val="009E23A7"/>
    <w:rsid w:val="009F3FBA"/>
    <w:rsid w:val="00A90194"/>
    <w:rsid w:val="00B5686A"/>
    <w:rsid w:val="00D4202B"/>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5D0F"/>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11</cp:revision>
  <dcterms:created xsi:type="dcterms:W3CDTF">2020-07-17T11:25:00Z</dcterms:created>
  <dcterms:modified xsi:type="dcterms:W3CDTF">2020-07-23T07:57:00Z</dcterms:modified>
</cp:coreProperties>
</file>