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E7A" w:rsidRPr="00773E7A" w:rsidRDefault="00773E7A" w:rsidP="00773E7A">
      <w:pPr>
        <w:pStyle w:val="a3"/>
        <w:shd w:val="clear" w:color="auto" w:fill="FFFFFF"/>
        <w:spacing w:before="0" w:beforeAutospacing="0" w:after="0" w:afterAutospacing="0"/>
        <w:ind w:firstLine="720"/>
        <w:jc w:val="both"/>
        <w:rPr>
          <w:b/>
          <w:color w:val="333333"/>
          <w:sz w:val="22"/>
          <w:szCs w:val="22"/>
        </w:rPr>
      </w:pPr>
      <w:r w:rsidRPr="003A0591">
        <w:rPr>
          <w:b/>
          <w:color w:val="333333"/>
          <w:sz w:val="22"/>
          <w:szCs w:val="22"/>
          <w:lang w:val="uk-UA"/>
        </w:rPr>
        <w:t xml:space="preserve">З початку 2020 року місцеві скарбниці отримали понад  21 млн грн плати за землю </w:t>
      </w:r>
    </w:p>
    <w:p w:rsidR="00773E7A" w:rsidRPr="00773E7A" w:rsidRDefault="00773E7A" w:rsidP="00773E7A">
      <w:pPr>
        <w:pStyle w:val="a3"/>
        <w:shd w:val="clear" w:color="auto" w:fill="FFFFFF"/>
        <w:spacing w:before="0" w:beforeAutospacing="0" w:after="0" w:afterAutospacing="0"/>
        <w:ind w:firstLine="720"/>
        <w:jc w:val="both"/>
        <w:rPr>
          <w:color w:val="333333"/>
          <w:sz w:val="22"/>
          <w:szCs w:val="22"/>
        </w:rPr>
      </w:pPr>
    </w:p>
    <w:p w:rsidR="00773E7A" w:rsidRPr="003A0591" w:rsidRDefault="00773E7A" w:rsidP="00773E7A">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Впродовж січня – червня 2020 року власниками землі та землекористувачами, які перебувають на обліку в Старобільському управлінні Головного управління ДПС у Луганській області, перераховано до місцевих бюджетів 21,5 млн гривень плати за землю. Зокрема платники плати за землю Старобільського району сплатили - 5,6 млн грн, Новопсковського району - 6,2 млн грн, Новоайдарського району -  7,7 млн грн, Марківського району - 2,0 млн гривень.</w:t>
      </w:r>
    </w:p>
    <w:p w:rsidR="00773E7A" w:rsidRPr="003A0591" w:rsidRDefault="00773E7A" w:rsidP="00773E7A">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Вагому частку надходжень у вигляді плати за землю, а це 78 відс., сплатили власники земельних ділянок, часток (паїв) та землекористувачі - юридичні особи. Від них до бюджету надійшло 16,9 млн  гривень. Водночас від фізичних осіб надійшло 4,6 млн  гривень.</w:t>
      </w:r>
    </w:p>
    <w:p w:rsidR="00773E7A" w:rsidRPr="003A0591" w:rsidRDefault="00773E7A" w:rsidP="00773E7A">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Нагадаємо, що згідно із нормами Податкового кодексу України, власники землі та землекористувачі сплачують плату за землю з дня виникнення права власності або права користування земельною ділянкою.</w:t>
      </w:r>
    </w:p>
    <w:p w:rsidR="00773E7A" w:rsidRPr="003A0591" w:rsidRDefault="00773E7A" w:rsidP="00773E7A">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При цьому юридичні особи самостійно обчислюють суму податку щороку станом на 1 січня та подають податкову декларацію на поточний рік до податкових органів за місцезнаходженням земельних ділянок.</w:t>
      </w:r>
    </w:p>
    <w:p w:rsidR="00773E7A" w:rsidRPr="003A0591" w:rsidRDefault="00773E7A" w:rsidP="00773E7A">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Нарахування ж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податкове зобов’язання з податку.</w:t>
      </w:r>
    </w:p>
    <w:p w:rsidR="00773E7A" w:rsidRPr="003A0591" w:rsidRDefault="00773E7A" w:rsidP="00773E7A">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Акцентуємо увагу, що плата за землю – це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власності. Підставою для нарахування земельного податку є дані державного земельного кадастру. Це визначено п. 286.1 ст. 286 Податкового кодексу України.</w:t>
      </w:r>
    </w:p>
    <w:p w:rsidR="00773E7A" w:rsidRPr="003A0591" w:rsidRDefault="00773E7A" w:rsidP="00773E7A">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Відповідно до п. 287.1 ст. 287 цього кодексу, власники землі та землекористувачі сплачують плату за землю з дня виникнення права власності або права користування земельною ділянкою.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773E7A" w:rsidRPr="00773E7A" w:rsidRDefault="00773E7A" w:rsidP="00773E7A">
      <w:pPr>
        <w:pStyle w:val="a3"/>
        <w:shd w:val="clear" w:color="auto" w:fill="FFFFFF"/>
        <w:spacing w:before="0" w:beforeAutospacing="0" w:after="0" w:afterAutospacing="0"/>
        <w:ind w:firstLine="6660"/>
        <w:jc w:val="both"/>
        <w:rPr>
          <w:color w:val="333333"/>
          <w:sz w:val="22"/>
          <w:szCs w:val="22"/>
        </w:rPr>
      </w:pPr>
    </w:p>
    <w:p w:rsidR="008B06F9" w:rsidRPr="00D4202B" w:rsidRDefault="00773E7A" w:rsidP="00773E7A">
      <w:pPr>
        <w:rPr>
          <w:lang w:val="uk-UA"/>
        </w:rPr>
      </w:pPr>
      <w:r w:rsidRPr="00773E7A">
        <w:rPr>
          <w:b/>
          <w:color w:val="333333"/>
          <w:sz w:val="22"/>
          <w:szCs w:val="22"/>
        </w:rPr>
        <w:t xml:space="preserve">   </w:t>
      </w:r>
      <w:r w:rsidRPr="003A0591">
        <w:rPr>
          <w:b/>
          <w:color w:val="333333"/>
          <w:sz w:val="22"/>
          <w:szCs w:val="22"/>
          <w:lang w:val="uk-UA"/>
        </w:rPr>
        <w:t>Старобільське управління</w:t>
      </w: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41F" w:rsidRDefault="00B9241F">
      <w:r>
        <w:separator/>
      </w:r>
    </w:p>
  </w:endnote>
  <w:endnote w:type="continuationSeparator" w:id="0">
    <w:p w:rsidR="00B9241F" w:rsidRDefault="00B9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41F" w:rsidRDefault="00B9241F">
      <w:r>
        <w:separator/>
      </w:r>
    </w:p>
  </w:footnote>
  <w:footnote w:type="continuationSeparator" w:id="0">
    <w:p w:rsidR="00B9241F" w:rsidRDefault="00B924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30C11"/>
    <w:rsid w:val="001710E8"/>
    <w:rsid w:val="00230D8C"/>
    <w:rsid w:val="002324DF"/>
    <w:rsid w:val="00321C62"/>
    <w:rsid w:val="003D06C9"/>
    <w:rsid w:val="00404800"/>
    <w:rsid w:val="00771E34"/>
    <w:rsid w:val="00773E7A"/>
    <w:rsid w:val="007C48DA"/>
    <w:rsid w:val="008B06F9"/>
    <w:rsid w:val="009E23A7"/>
    <w:rsid w:val="009F3FBA"/>
    <w:rsid w:val="00A90194"/>
    <w:rsid w:val="00B5686A"/>
    <w:rsid w:val="00B9241F"/>
    <w:rsid w:val="00D4202B"/>
    <w:rsid w:val="00D63A05"/>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421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Надежда</cp:lastModifiedBy>
  <cp:revision>16</cp:revision>
  <dcterms:created xsi:type="dcterms:W3CDTF">2020-07-17T11:25:00Z</dcterms:created>
  <dcterms:modified xsi:type="dcterms:W3CDTF">2020-08-06T12:22:00Z</dcterms:modified>
</cp:coreProperties>
</file>