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11" w:rsidRPr="003A0591" w:rsidRDefault="00130C11" w:rsidP="00130C11">
      <w:pPr>
        <w:pStyle w:val="a3"/>
        <w:shd w:val="clear" w:color="auto" w:fill="FFFFFF"/>
        <w:spacing w:before="0" w:beforeAutospacing="0" w:after="0" w:afterAutospacing="0"/>
        <w:ind w:firstLine="720"/>
        <w:jc w:val="both"/>
        <w:rPr>
          <w:b/>
          <w:color w:val="333333"/>
          <w:sz w:val="22"/>
          <w:szCs w:val="22"/>
          <w:lang w:val="uk-UA"/>
        </w:rPr>
      </w:pPr>
      <w:r w:rsidRPr="003A0591">
        <w:rPr>
          <w:b/>
          <w:color w:val="333333"/>
          <w:sz w:val="22"/>
          <w:szCs w:val="22"/>
          <w:lang w:val="uk-UA"/>
        </w:rPr>
        <w:t>Власники нерухомості сплатили до місцевих бюджетів 4,1 млн гривень  податку</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Старобільське управління Головного управління ДПС у Луганській області інформує, що платниками податків за шість місяців поточного року сплачено 4,1 млн грн податку на нерухоме майно, відмінне від земельної ділянки. Це на 1,6 млн гривень більше ніж в аналогічному періоді минулого року. Зокрема, юридичні особи сплатили 3,5 млн гривень, фізичні особи – власники нерухомості, перерахували 0,6 млн гривень цього податку.</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Платниками Старобільського району сплачено - 0,6 млн грн, Новопсковського району -2,3 млн грн, Новоайдарського району - 0,7 млн грн., Марківського району - 0,4 млн грн, іншіх районів - 0,1 млн гривень. </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Нагадаємо, платниками податку на нерухоме майно, відмінне від земельної ділянки, є фізичні та юридичні особи, у тому числі нерезиденти, які є власниками об’єктів житлової або нежитлової нерухомості. Податок нараховується на загальну площу об’єкта житлової та нежитлової нерухомості, у тому числі їх часток. </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При цьому пільгові розміри майна для фізичних осіб, на які не застосовується ставка податку, становлять для квартири чи декількох квартир незалежно від їх кількості – 60 кв. метрів; для житлового будинку/будинків незалежно від їх кількості – 120 кв. метрів;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180 кв. метрів. </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Водночас, пільги з податку у вигляді неоподатковуваних квадратних метрів (60, 120 та 180) для фізичних осіб не застосовуються: </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до 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 </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до об’єктів оподаткування, якщо їх загальна площа перевищує 300 кв. метрів (для квартири, квартир), 600 кв. метрів (для будинку, будинків), 900 кв. метрів (для різних типів житлових об’єктів). </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Ставки податку встановлюються органами місцевого самоврядування.</w:t>
      </w:r>
    </w:p>
    <w:p w:rsidR="00130C11" w:rsidRPr="003A0591" w:rsidRDefault="00130C11" w:rsidP="00130C11">
      <w:pPr>
        <w:pStyle w:val="a3"/>
        <w:shd w:val="clear" w:color="auto" w:fill="FFFFFF"/>
        <w:spacing w:before="0" w:beforeAutospacing="0" w:after="0" w:afterAutospacing="0"/>
        <w:ind w:firstLine="720"/>
        <w:jc w:val="both"/>
        <w:rPr>
          <w:color w:val="333333"/>
          <w:sz w:val="22"/>
          <w:szCs w:val="22"/>
          <w:lang w:val="uk-UA"/>
        </w:rPr>
      </w:pPr>
      <w:r w:rsidRPr="003A0591">
        <w:rPr>
          <w:color w:val="333333"/>
          <w:sz w:val="22"/>
          <w:szCs w:val="22"/>
          <w:lang w:val="uk-UA"/>
        </w:rPr>
        <w:t xml:space="preserve">Також варто зазначити, що відповідно до норм Податкового кодексу України, за наявності у власності платника податку об’єкта (об’єктів) житлової нерухомості, що перебуває у власності фізичної чи юридичної особи-платника податку, загальна площа якого перевищує </w:t>
      </w:r>
      <w:smartTag w:uri="urn:schemas-microsoft-com:office:smarttags" w:element="metricconverter">
        <w:smartTagPr>
          <w:attr w:name="ProductID" w:val="300 кв. м"/>
        </w:smartTagPr>
        <w:r w:rsidRPr="003A0591">
          <w:rPr>
            <w:color w:val="333333"/>
            <w:sz w:val="22"/>
            <w:szCs w:val="22"/>
            <w:lang w:val="uk-UA"/>
          </w:rPr>
          <w:t>300 кв. м</w:t>
        </w:r>
      </w:smartTag>
      <w:r w:rsidRPr="003A0591">
        <w:rPr>
          <w:color w:val="333333"/>
          <w:sz w:val="22"/>
          <w:szCs w:val="22"/>
          <w:lang w:val="uk-UA"/>
        </w:rPr>
        <w:t xml:space="preserve"> (для квартири) та/або </w:t>
      </w:r>
      <w:smartTag w:uri="urn:schemas-microsoft-com:office:smarttags" w:element="metricconverter">
        <w:smartTagPr>
          <w:attr w:name="ProductID" w:val="500 кв. м"/>
        </w:smartTagPr>
        <w:r w:rsidRPr="003A0591">
          <w:rPr>
            <w:color w:val="333333"/>
            <w:sz w:val="22"/>
            <w:szCs w:val="22"/>
            <w:lang w:val="uk-UA"/>
          </w:rPr>
          <w:t>500 кв. м</w:t>
        </w:r>
      </w:smartTag>
      <w:r w:rsidRPr="003A0591">
        <w:rPr>
          <w:color w:val="333333"/>
          <w:sz w:val="22"/>
          <w:szCs w:val="22"/>
          <w:lang w:val="uk-UA"/>
        </w:rPr>
        <w:t xml:space="preserve"> (для будинку), сума податку збільшується на 25 000 грн на рік за кожен такий об’єкт житлової нерухомості.</w:t>
      </w:r>
    </w:p>
    <w:p w:rsidR="00130C11" w:rsidRPr="003A0591" w:rsidRDefault="00130C11" w:rsidP="00130C11">
      <w:pPr>
        <w:pStyle w:val="a3"/>
        <w:shd w:val="clear" w:color="auto" w:fill="FFFFFF"/>
        <w:spacing w:before="0" w:beforeAutospacing="0" w:after="0" w:afterAutospacing="0"/>
        <w:ind w:firstLine="6379"/>
        <w:jc w:val="both"/>
        <w:rPr>
          <w:b/>
          <w:color w:val="333333"/>
          <w:sz w:val="22"/>
          <w:szCs w:val="22"/>
          <w:lang w:val="uk-UA"/>
        </w:rPr>
      </w:pPr>
      <w:r w:rsidRPr="003A0591">
        <w:rPr>
          <w:b/>
          <w:color w:val="333333"/>
          <w:sz w:val="22"/>
          <w:szCs w:val="22"/>
          <w:lang w:val="uk-UA"/>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23" w:rsidRDefault="00660B23">
      <w:r>
        <w:separator/>
      </w:r>
    </w:p>
  </w:endnote>
  <w:endnote w:type="continuationSeparator" w:id="0">
    <w:p w:rsidR="00660B23" w:rsidRDefault="0066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23" w:rsidRDefault="00660B23">
      <w:r>
        <w:separator/>
      </w:r>
    </w:p>
  </w:footnote>
  <w:footnote w:type="continuationSeparator" w:id="0">
    <w:p w:rsidR="00660B23" w:rsidRDefault="00660B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30C11"/>
    <w:rsid w:val="001710E8"/>
    <w:rsid w:val="00230D8C"/>
    <w:rsid w:val="002324DF"/>
    <w:rsid w:val="00321C62"/>
    <w:rsid w:val="003D06C9"/>
    <w:rsid w:val="00404800"/>
    <w:rsid w:val="00660B23"/>
    <w:rsid w:val="00771E34"/>
    <w:rsid w:val="007C48DA"/>
    <w:rsid w:val="008B06F9"/>
    <w:rsid w:val="009E23A7"/>
    <w:rsid w:val="009F3FBA"/>
    <w:rsid w:val="00A90194"/>
    <w:rsid w:val="00B5686A"/>
    <w:rsid w:val="00D4202B"/>
    <w:rsid w:val="00D63A05"/>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15</cp:revision>
  <dcterms:created xsi:type="dcterms:W3CDTF">2020-07-17T11:25:00Z</dcterms:created>
  <dcterms:modified xsi:type="dcterms:W3CDTF">2020-08-06T12:17:00Z</dcterms:modified>
</cp:coreProperties>
</file>