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C4F" w:rsidRPr="00383C4F" w:rsidRDefault="00383C4F" w:rsidP="00383C4F">
      <w:pPr>
        <w:shd w:val="clear" w:color="auto" w:fill="FFFFFF"/>
        <w:spacing w:before="300" w:after="600" w:line="240" w:lineRule="auto"/>
        <w:outlineLvl w:val="1"/>
        <w:rPr>
          <w:rFonts w:ascii="Arial" w:eastAsia="Times New Roman" w:hAnsi="Arial" w:cs="Arial"/>
          <w:color w:val="333333"/>
          <w:sz w:val="45"/>
          <w:szCs w:val="45"/>
          <w:lang w:eastAsia="ru-RU"/>
        </w:rPr>
      </w:pPr>
      <w:r w:rsidRPr="00383C4F">
        <w:rPr>
          <w:rFonts w:ascii="Arial" w:eastAsia="Times New Roman" w:hAnsi="Arial" w:cs="Arial"/>
          <w:color w:val="333333"/>
          <w:sz w:val="45"/>
          <w:szCs w:val="45"/>
          <w:lang w:eastAsia="ru-RU"/>
        </w:rPr>
        <w:t>Окремі особливості початку діяльності об'єднаних громад, перші вибори у яких відбулися у грудні 2019 року</w:t>
      </w:r>
    </w:p>
    <w:p w:rsidR="00383C4F" w:rsidRPr="00383C4F" w:rsidRDefault="00383C4F" w:rsidP="00383C4F">
      <w:pPr>
        <w:shd w:val="clear" w:color="auto" w:fill="FFFFFF"/>
        <w:spacing w:after="150" w:line="240" w:lineRule="auto"/>
        <w:jc w:val="both"/>
        <w:rPr>
          <w:rFonts w:ascii="Arial" w:eastAsia="Times New Roman" w:hAnsi="Arial" w:cs="Arial"/>
          <w:color w:val="333333"/>
          <w:sz w:val="21"/>
          <w:szCs w:val="21"/>
          <w:lang w:eastAsia="ru-RU"/>
        </w:rPr>
      </w:pPr>
      <w:r w:rsidRPr="00383C4F">
        <w:rPr>
          <w:rFonts w:ascii="Arial" w:eastAsia="Times New Roman" w:hAnsi="Arial" w:cs="Arial"/>
          <w:b/>
          <w:bCs/>
          <w:color w:val="333333"/>
          <w:sz w:val="21"/>
          <w:szCs w:val="21"/>
          <w:lang w:eastAsia="ru-RU"/>
        </w:rPr>
        <w:t>22 та 29 грудня 2019 року у майже 100 ОТГ відбулися перші вибори. За останні роки напрацювано значний досвід щодо організації перших етапів діяльності ОМС ОТГ. Втім депутатам рад та посадовцям ОМС ОТГ, перші вибори у яких відбулися у грудні 2019 року, потрібно враховувати низку особливостей, які будуть істотно відрізняти їхні перші кроки від досвіду попередників. </w:t>
      </w:r>
    </w:p>
    <w:p w:rsidR="00383C4F" w:rsidRPr="00383C4F" w:rsidRDefault="00383C4F" w:rsidP="00383C4F">
      <w:pPr>
        <w:shd w:val="clear" w:color="auto" w:fill="FFFFFF"/>
        <w:spacing w:before="300" w:after="300" w:line="240" w:lineRule="auto"/>
        <w:jc w:val="both"/>
        <w:rPr>
          <w:rFonts w:ascii="Arial" w:eastAsia="Times New Roman" w:hAnsi="Arial" w:cs="Arial"/>
          <w:color w:val="333333"/>
          <w:sz w:val="21"/>
          <w:szCs w:val="21"/>
          <w:lang w:eastAsia="ru-RU"/>
        </w:rPr>
      </w:pPr>
      <w:r w:rsidRPr="00383C4F">
        <w:rPr>
          <w:rFonts w:ascii="Arial" w:eastAsia="Times New Roman" w:hAnsi="Arial" w:cs="Arial"/>
          <w:color w:val="333333"/>
          <w:sz w:val="21"/>
          <w:szCs w:val="21"/>
          <w:lang w:eastAsia="ru-RU"/>
        </w:rPr>
        <w:pict>
          <v:rect id="_x0000_i1025" style="width:0;height:0" o:hralign="center" o:hrstd="t" o:hr="t" fillcolor="#a0a0a0" stroked="f"/>
        </w:pict>
      </w:r>
    </w:p>
    <w:p w:rsidR="00383C4F" w:rsidRPr="00383C4F" w:rsidRDefault="00383C4F" w:rsidP="00383C4F">
      <w:pPr>
        <w:shd w:val="clear" w:color="auto" w:fill="FFFFFF"/>
        <w:spacing w:after="150" w:line="240" w:lineRule="auto"/>
        <w:jc w:val="both"/>
        <w:rPr>
          <w:rFonts w:ascii="Arial" w:eastAsia="Times New Roman" w:hAnsi="Arial" w:cs="Arial"/>
          <w:color w:val="333333"/>
          <w:sz w:val="21"/>
          <w:szCs w:val="21"/>
          <w:lang w:eastAsia="ru-RU"/>
        </w:rPr>
      </w:pPr>
      <w:r w:rsidRPr="00383C4F">
        <w:rPr>
          <w:rFonts w:ascii="Arial" w:eastAsia="Times New Roman" w:hAnsi="Arial" w:cs="Arial"/>
          <w:color w:val="333333"/>
          <w:sz w:val="21"/>
          <w:szCs w:val="21"/>
          <w:lang w:eastAsia="ru-RU"/>
        </w:rPr>
        <w:t>Це обумовлено тим, що згадані громади поки не мають прямих міжбюджетних відносин з державним бюджетом, а отже їхній статус за Бюджетним кодексом України (далі – БК України) залишається таким же, яким був до об’єднання.</w:t>
      </w:r>
    </w:p>
    <w:p w:rsidR="00383C4F" w:rsidRPr="00383C4F" w:rsidRDefault="00383C4F" w:rsidP="00383C4F">
      <w:pPr>
        <w:shd w:val="clear" w:color="auto" w:fill="FFFFFF"/>
        <w:spacing w:after="150" w:line="240" w:lineRule="auto"/>
        <w:jc w:val="both"/>
        <w:rPr>
          <w:rFonts w:ascii="Arial" w:eastAsia="Times New Roman" w:hAnsi="Arial" w:cs="Arial"/>
          <w:color w:val="333333"/>
          <w:sz w:val="21"/>
          <w:szCs w:val="21"/>
          <w:lang w:eastAsia="ru-RU"/>
        </w:rPr>
      </w:pPr>
      <w:r w:rsidRPr="00383C4F">
        <w:rPr>
          <w:rFonts w:ascii="Arial" w:eastAsia="Times New Roman" w:hAnsi="Arial" w:cs="Arial"/>
          <w:color w:val="333333"/>
          <w:sz w:val="21"/>
          <w:szCs w:val="21"/>
          <w:lang w:eastAsia="ru-RU"/>
        </w:rPr>
        <w:t>Також більш жорстким стали й вимоги щодо визнання громад спроможними. Для цього ОТГ має або чітко відповідати затвердженому перспективному плану формування території області, або бути визнана спроможною рішенням Уряду.</w:t>
      </w:r>
    </w:p>
    <w:p w:rsidR="00383C4F" w:rsidRPr="00383C4F" w:rsidRDefault="00383C4F" w:rsidP="00383C4F">
      <w:pPr>
        <w:shd w:val="clear" w:color="auto" w:fill="FFFFFF"/>
        <w:spacing w:after="150" w:line="240" w:lineRule="auto"/>
        <w:jc w:val="both"/>
        <w:rPr>
          <w:rFonts w:ascii="Arial" w:eastAsia="Times New Roman" w:hAnsi="Arial" w:cs="Arial"/>
          <w:color w:val="333333"/>
          <w:sz w:val="21"/>
          <w:szCs w:val="21"/>
          <w:lang w:eastAsia="ru-RU"/>
        </w:rPr>
      </w:pPr>
      <w:r w:rsidRPr="00383C4F">
        <w:rPr>
          <w:rFonts w:ascii="Arial" w:eastAsia="Times New Roman" w:hAnsi="Arial" w:cs="Arial"/>
          <w:color w:val="333333"/>
          <w:sz w:val="21"/>
          <w:szCs w:val="21"/>
          <w:lang w:eastAsia="ru-RU"/>
        </w:rPr>
        <w:t>Пунктом 9 Прикінцевих положень Закону України від 14.11.2019 р. № </w:t>
      </w:r>
      <w:r w:rsidRPr="00383C4F">
        <w:rPr>
          <w:rFonts w:ascii="Arial" w:eastAsia="Times New Roman" w:hAnsi="Arial" w:cs="Arial"/>
          <w:b/>
          <w:bCs/>
          <w:color w:val="333333"/>
          <w:sz w:val="21"/>
          <w:szCs w:val="21"/>
          <w:lang w:eastAsia="ru-RU"/>
        </w:rPr>
        <w:t> </w:t>
      </w:r>
      <w:r w:rsidRPr="00383C4F">
        <w:rPr>
          <w:rFonts w:ascii="Arial" w:eastAsia="Times New Roman" w:hAnsi="Arial" w:cs="Arial"/>
          <w:color w:val="333333"/>
          <w:sz w:val="21"/>
          <w:szCs w:val="21"/>
          <w:lang w:eastAsia="ru-RU"/>
        </w:rPr>
        <w:t>294-IX «Про Державний бюджет України на 2020 рік» (далі – Закон № 294) Кабінету Міністрів України доручено до 01.02.2020 р. подати на розгляд Парламенту пропозиції щодо внесення змін до Державного бюджету України на 2020 рік у частині встановлення відносин між державним бюджетом та бюджетами ОТГ, у яких у 2019 році відбулися перші вибори, забезпечивши за необхідності визнання таких ОТГ спроможними або внесення змін до затверджених перспективних планів формування територій громад областей.</w:t>
      </w:r>
    </w:p>
    <w:p w:rsidR="00383C4F" w:rsidRPr="00383C4F" w:rsidRDefault="00383C4F" w:rsidP="00383C4F">
      <w:pPr>
        <w:shd w:val="clear" w:color="auto" w:fill="FFFFFF"/>
        <w:spacing w:after="150" w:line="240" w:lineRule="auto"/>
        <w:jc w:val="both"/>
        <w:rPr>
          <w:rFonts w:ascii="Arial" w:eastAsia="Times New Roman" w:hAnsi="Arial" w:cs="Arial"/>
          <w:color w:val="333333"/>
          <w:sz w:val="21"/>
          <w:szCs w:val="21"/>
          <w:lang w:eastAsia="ru-RU"/>
        </w:rPr>
      </w:pPr>
      <w:r w:rsidRPr="00383C4F">
        <w:rPr>
          <w:rFonts w:ascii="Arial" w:eastAsia="Times New Roman" w:hAnsi="Arial" w:cs="Arial"/>
          <w:color w:val="333333"/>
          <w:sz w:val="21"/>
          <w:szCs w:val="21"/>
          <w:lang w:eastAsia="ru-RU"/>
        </w:rPr>
        <w:t>За умови виконання зазначеного положення Закону № 294, подальший алгоритм дій щодо виконання бюджетів ОТГ (які на разі не мають прямих міжбюджетних відносин з державних бюджетом) у 2020 році визначатиметься з урахуванням законодавчих та нормативно-правових актів, які будуть прийняті на виконання п. 9 Прикінцевих положень Закону № 294. Але до цього часу, новоствореним ОМС ОТГ потрібно ураховувати низку особливостей щодо організації своєї діяльності, аби не допустити порушень законодавства.</w:t>
      </w:r>
    </w:p>
    <w:p w:rsidR="00383C4F" w:rsidRPr="00383C4F" w:rsidRDefault="00383C4F" w:rsidP="00383C4F">
      <w:pPr>
        <w:shd w:val="clear" w:color="auto" w:fill="FFFFFF"/>
        <w:spacing w:after="150" w:line="240" w:lineRule="auto"/>
        <w:jc w:val="both"/>
        <w:rPr>
          <w:rFonts w:ascii="Arial" w:eastAsia="Times New Roman" w:hAnsi="Arial" w:cs="Arial"/>
          <w:color w:val="333333"/>
          <w:sz w:val="21"/>
          <w:szCs w:val="21"/>
          <w:lang w:eastAsia="ru-RU"/>
        </w:rPr>
      </w:pPr>
      <w:r w:rsidRPr="00383C4F">
        <w:rPr>
          <w:rFonts w:ascii="Arial" w:eastAsia="Times New Roman" w:hAnsi="Arial" w:cs="Arial"/>
          <w:color w:val="333333"/>
          <w:sz w:val="21"/>
          <w:szCs w:val="21"/>
          <w:lang w:eastAsia="ru-RU"/>
        </w:rPr>
        <w:t> </w:t>
      </w:r>
    </w:p>
    <w:p w:rsidR="00383C4F" w:rsidRPr="00383C4F" w:rsidRDefault="00383C4F" w:rsidP="00383C4F">
      <w:pPr>
        <w:shd w:val="clear" w:color="auto" w:fill="FFFFFF"/>
        <w:spacing w:before="150" w:after="150" w:line="240" w:lineRule="auto"/>
        <w:jc w:val="both"/>
        <w:outlineLvl w:val="3"/>
        <w:rPr>
          <w:rFonts w:ascii="Arial" w:eastAsia="Times New Roman" w:hAnsi="Arial" w:cs="Arial"/>
          <w:color w:val="333333"/>
          <w:sz w:val="27"/>
          <w:szCs w:val="27"/>
          <w:lang w:eastAsia="ru-RU"/>
        </w:rPr>
      </w:pPr>
      <w:r w:rsidRPr="00383C4F">
        <w:rPr>
          <w:rFonts w:ascii="Arial" w:eastAsia="Times New Roman" w:hAnsi="Arial" w:cs="Arial"/>
          <w:b/>
          <w:bCs/>
          <w:color w:val="333333"/>
          <w:sz w:val="27"/>
          <w:szCs w:val="27"/>
          <w:lang w:eastAsia="ru-RU"/>
        </w:rPr>
        <w:t>Специфіка бюджетних відносин</w:t>
      </w:r>
    </w:p>
    <w:p w:rsidR="00383C4F" w:rsidRPr="00383C4F" w:rsidRDefault="00383C4F" w:rsidP="00383C4F">
      <w:pPr>
        <w:shd w:val="clear" w:color="auto" w:fill="FFFFFF"/>
        <w:spacing w:after="150" w:line="240" w:lineRule="auto"/>
        <w:jc w:val="both"/>
        <w:rPr>
          <w:rFonts w:ascii="Arial" w:eastAsia="Times New Roman" w:hAnsi="Arial" w:cs="Arial"/>
          <w:color w:val="333333"/>
          <w:sz w:val="21"/>
          <w:szCs w:val="21"/>
          <w:lang w:eastAsia="ru-RU"/>
        </w:rPr>
      </w:pPr>
      <w:r w:rsidRPr="00383C4F">
        <w:rPr>
          <w:rFonts w:ascii="Arial" w:eastAsia="Times New Roman" w:hAnsi="Arial" w:cs="Arial"/>
          <w:color w:val="333333"/>
          <w:sz w:val="21"/>
          <w:szCs w:val="21"/>
          <w:lang w:eastAsia="ru-RU"/>
        </w:rPr>
        <w:t>Відповідно до ч. 2 ст. 77 БК України місцеві бюджети на 2020 рік потрібно було затвердити рішенням відповідної місцевої ради до 25.12.2019 р. (включно).  Підготовка проектів рішень про місцевий бюджет та всіх необхідних матеріалів повинна здійснюватися у відповідності до вимог ст. 75-76 БК України з урахуванням п. 49 Прикінцевих та перехідних положень щодо складання прогнозу місцевого бюджету у 2019 році.</w:t>
      </w:r>
    </w:p>
    <w:p w:rsidR="00383C4F" w:rsidRPr="00383C4F" w:rsidRDefault="00383C4F" w:rsidP="00383C4F">
      <w:pPr>
        <w:shd w:val="clear" w:color="auto" w:fill="FFFFFF"/>
        <w:spacing w:after="150" w:line="240" w:lineRule="auto"/>
        <w:jc w:val="both"/>
        <w:rPr>
          <w:rFonts w:ascii="Arial" w:eastAsia="Times New Roman" w:hAnsi="Arial" w:cs="Arial"/>
          <w:color w:val="333333"/>
          <w:sz w:val="21"/>
          <w:szCs w:val="21"/>
          <w:lang w:eastAsia="ru-RU"/>
        </w:rPr>
      </w:pPr>
      <w:r w:rsidRPr="00383C4F">
        <w:rPr>
          <w:rFonts w:ascii="Arial" w:eastAsia="Times New Roman" w:hAnsi="Arial" w:cs="Arial"/>
          <w:color w:val="333333"/>
          <w:sz w:val="21"/>
          <w:szCs w:val="21"/>
          <w:lang w:eastAsia="ru-RU"/>
        </w:rPr>
        <w:t>Отже, кожна з рад, яка увійшла до складу ОТГ, перші вибори яких відбулися у грудні та які не перейшли на прямі міжбюджетні відносини з державним бюджетом з 01.01.2020 року, мала прийняти рішення про свій бюджет окремо у старому порядку, а не за правилами, встановленими бюджетним законодавством для ОТГ.</w:t>
      </w:r>
    </w:p>
    <w:p w:rsidR="00383C4F" w:rsidRPr="00383C4F" w:rsidRDefault="00383C4F" w:rsidP="00383C4F">
      <w:pPr>
        <w:shd w:val="clear" w:color="auto" w:fill="FFFFFF"/>
        <w:spacing w:after="150" w:line="240" w:lineRule="auto"/>
        <w:jc w:val="both"/>
        <w:rPr>
          <w:rFonts w:ascii="Arial" w:eastAsia="Times New Roman" w:hAnsi="Arial" w:cs="Arial"/>
          <w:color w:val="333333"/>
          <w:sz w:val="21"/>
          <w:szCs w:val="21"/>
          <w:lang w:eastAsia="ru-RU"/>
        </w:rPr>
      </w:pPr>
      <w:r w:rsidRPr="00383C4F">
        <w:rPr>
          <w:rFonts w:ascii="Arial" w:eastAsia="Times New Roman" w:hAnsi="Arial" w:cs="Arial"/>
          <w:color w:val="333333"/>
          <w:sz w:val="21"/>
          <w:szCs w:val="21"/>
          <w:lang w:eastAsia="ru-RU"/>
        </w:rPr>
        <w:t>У 2020 році бюджети місцевих рад, які увійшли до ОТГ, але не включені до Закону про державний бюджет на 2020 рік, повинні виконуватися окремо відповідно до вимог ч. 9 ст. 8 Закону України від 05.02.2015 р. № 157-VIII «Про добровільне об’єднання територіальних громад» (далі – Закон № 157).</w:t>
      </w:r>
    </w:p>
    <w:p w:rsidR="00383C4F" w:rsidRPr="00383C4F" w:rsidRDefault="00383C4F" w:rsidP="00383C4F">
      <w:pPr>
        <w:shd w:val="clear" w:color="auto" w:fill="FFFFFF"/>
        <w:spacing w:after="150" w:line="240" w:lineRule="auto"/>
        <w:jc w:val="both"/>
        <w:rPr>
          <w:rFonts w:ascii="Arial" w:eastAsia="Times New Roman" w:hAnsi="Arial" w:cs="Arial"/>
          <w:color w:val="333333"/>
          <w:sz w:val="21"/>
          <w:szCs w:val="21"/>
          <w:lang w:eastAsia="ru-RU"/>
        </w:rPr>
      </w:pPr>
      <w:r w:rsidRPr="00383C4F">
        <w:rPr>
          <w:rFonts w:ascii="Arial" w:eastAsia="Times New Roman" w:hAnsi="Arial" w:cs="Arial"/>
          <w:color w:val="333333"/>
          <w:sz w:val="21"/>
          <w:szCs w:val="21"/>
          <w:lang w:eastAsia="ru-RU"/>
        </w:rPr>
        <w:lastRenderedPageBreak/>
        <w:t>Тобто, бюджети територіальних громад, що об’єдналися у 2019 році і не переведені на прямі міждюджетні відносини, виконуються окремо до закінчення 2020 року. Сільська, селищна, міська рада, обрана ОТГ, може вносити зміни до рішень про місцеві бюджети, прийняті сільськими, селищними, міськими радами, що увійшли до ОТГ – адже тепер тільки рада «центральної садиби» матиме відповідні повноваження.</w:t>
      </w:r>
    </w:p>
    <w:p w:rsidR="00383C4F" w:rsidRPr="00383C4F" w:rsidRDefault="00383C4F" w:rsidP="00383C4F">
      <w:pPr>
        <w:shd w:val="clear" w:color="auto" w:fill="FFFFFF"/>
        <w:spacing w:after="150" w:line="240" w:lineRule="auto"/>
        <w:jc w:val="both"/>
        <w:rPr>
          <w:rFonts w:ascii="Arial" w:eastAsia="Times New Roman" w:hAnsi="Arial" w:cs="Arial"/>
          <w:color w:val="333333"/>
          <w:sz w:val="21"/>
          <w:szCs w:val="21"/>
          <w:lang w:eastAsia="ru-RU"/>
        </w:rPr>
      </w:pPr>
      <w:r w:rsidRPr="00383C4F">
        <w:rPr>
          <w:rFonts w:ascii="Arial" w:eastAsia="Times New Roman" w:hAnsi="Arial" w:cs="Arial"/>
          <w:color w:val="333333"/>
          <w:sz w:val="21"/>
          <w:szCs w:val="21"/>
          <w:lang w:eastAsia="ru-RU"/>
        </w:rPr>
        <w:t>До завершення періоду окремого виконання бюджетів територіальних громад, що об’єдналися:</w:t>
      </w:r>
    </w:p>
    <w:p w:rsidR="00383C4F" w:rsidRPr="00383C4F" w:rsidRDefault="00383C4F" w:rsidP="00383C4F">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1"/>
          <w:szCs w:val="21"/>
          <w:lang w:eastAsia="ru-RU"/>
        </w:rPr>
      </w:pPr>
      <w:r w:rsidRPr="00383C4F">
        <w:rPr>
          <w:rFonts w:ascii="Arial" w:eastAsia="Times New Roman" w:hAnsi="Arial" w:cs="Arial"/>
          <w:color w:val="333333"/>
          <w:sz w:val="21"/>
          <w:szCs w:val="21"/>
          <w:lang w:eastAsia="ru-RU"/>
        </w:rPr>
        <w:t>функції головних розпорядників, розпорядників бюджетних коштів територіальних громад, що об’єдналися, продовжують здійснювати відповідні бюджетні установи в особі сільського, селищного, міського голови, обраного ОТГ, інших керівників бюджетних установ;</w:t>
      </w:r>
    </w:p>
    <w:p w:rsidR="00383C4F" w:rsidRPr="00383C4F" w:rsidRDefault="00383C4F" w:rsidP="00383C4F">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1"/>
          <w:szCs w:val="21"/>
          <w:lang w:eastAsia="ru-RU"/>
        </w:rPr>
      </w:pPr>
      <w:r w:rsidRPr="00383C4F">
        <w:rPr>
          <w:rFonts w:ascii="Arial" w:eastAsia="Times New Roman" w:hAnsi="Arial" w:cs="Arial"/>
          <w:color w:val="333333"/>
          <w:sz w:val="21"/>
          <w:szCs w:val="21"/>
          <w:lang w:eastAsia="ru-RU"/>
        </w:rPr>
        <w:t>функції місцевих фінансових органів територіальних громад, що об’єдналися, здійснюють відповідні місцеві фінансові органи, створені до ОТГ або сільський, селищний, міський голова, обраний ОТГ, якщо у відповідних територіальних громадах місцеві фінансові органи не були створені.</w:t>
      </w:r>
    </w:p>
    <w:p w:rsidR="00383C4F" w:rsidRPr="00383C4F" w:rsidRDefault="00383C4F" w:rsidP="00383C4F">
      <w:pPr>
        <w:shd w:val="clear" w:color="auto" w:fill="FFFFFF"/>
        <w:spacing w:after="150" w:line="240" w:lineRule="auto"/>
        <w:jc w:val="both"/>
        <w:rPr>
          <w:rFonts w:ascii="Arial" w:eastAsia="Times New Roman" w:hAnsi="Arial" w:cs="Arial"/>
          <w:color w:val="333333"/>
          <w:sz w:val="21"/>
          <w:szCs w:val="21"/>
          <w:lang w:eastAsia="ru-RU"/>
        </w:rPr>
      </w:pPr>
      <w:r w:rsidRPr="00383C4F">
        <w:rPr>
          <w:rFonts w:ascii="Arial" w:eastAsia="Times New Roman" w:hAnsi="Arial" w:cs="Arial"/>
          <w:color w:val="333333"/>
          <w:sz w:val="21"/>
          <w:szCs w:val="21"/>
          <w:lang w:eastAsia="ru-RU"/>
        </w:rPr>
        <w:t>Протягом 2020 року (до прийняття Парламентом рішення згідно з п. 9 Прикінцевих положень Закону № 294) зазначені ОТГ отримуватимуть доходи визначені статтею 69 БК України (без зарахування ПДФО) та здійснюватимуть видатки, визначені ст. 91 та п. 20 Прикінцевих та перехідних положень цього кодексу (зокрема, на утримання закладів дошкільної освіти, утримання сільських, селищних та міських палаців і будинків культури, клубів, центрів дозвілля, інших клубних закладів та бібліотек, органи місцевого самоврядування, програми соціального захисту та соціального забезпечення і т.д.). Відповідно, такі бюджети не здійснюватимуть видатки, які передбачені ст. 89 БК України, а також не будуть отримувати базову дотацію (чи перераховувати реверсну дотацію до державного бюджету), освітню та медичну субвенції з державного бюджету.</w:t>
      </w:r>
    </w:p>
    <w:p w:rsidR="00383C4F" w:rsidRPr="00383C4F" w:rsidRDefault="00383C4F" w:rsidP="00383C4F">
      <w:pPr>
        <w:shd w:val="clear" w:color="auto" w:fill="FFFFFF"/>
        <w:spacing w:after="150" w:line="240" w:lineRule="auto"/>
        <w:jc w:val="both"/>
        <w:rPr>
          <w:rFonts w:ascii="Arial" w:eastAsia="Times New Roman" w:hAnsi="Arial" w:cs="Arial"/>
          <w:color w:val="333333"/>
          <w:sz w:val="21"/>
          <w:szCs w:val="21"/>
          <w:lang w:eastAsia="ru-RU"/>
        </w:rPr>
      </w:pPr>
      <w:r w:rsidRPr="00383C4F">
        <w:rPr>
          <w:rFonts w:ascii="Arial" w:eastAsia="Times New Roman" w:hAnsi="Arial" w:cs="Arial"/>
          <w:color w:val="333333"/>
          <w:sz w:val="21"/>
          <w:szCs w:val="21"/>
          <w:lang w:eastAsia="ru-RU"/>
        </w:rPr>
        <w:t>Також слід відмітити, що відповідно до ч. 5 ст. 6 БК України, зазначені бюджети ОТГ будуть включені до зведеного бюджету району (а не безпосередньо до зведеного бюджету області на підставі ч. 4 ст. 6 Кодексу).</w:t>
      </w:r>
    </w:p>
    <w:p w:rsidR="00383C4F" w:rsidRPr="00383C4F" w:rsidRDefault="00383C4F" w:rsidP="00383C4F">
      <w:pPr>
        <w:shd w:val="clear" w:color="auto" w:fill="FFFFFF"/>
        <w:spacing w:after="150" w:line="240" w:lineRule="auto"/>
        <w:jc w:val="both"/>
        <w:rPr>
          <w:rFonts w:ascii="Arial" w:eastAsia="Times New Roman" w:hAnsi="Arial" w:cs="Arial"/>
          <w:color w:val="333333"/>
          <w:sz w:val="21"/>
          <w:szCs w:val="21"/>
          <w:lang w:eastAsia="ru-RU"/>
        </w:rPr>
      </w:pPr>
      <w:r w:rsidRPr="00383C4F">
        <w:rPr>
          <w:rFonts w:ascii="Arial" w:eastAsia="Times New Roman" w:hAnsi="Arial" w:cs="Arial"/>
          <w:color w:val="333333"/>
          <w:sz w:val="21"/>
          <w:szCs w:val="21"/>
          <w:lang w:eastAsia="ru-RU"/>
        </w:rPr>
        <w:t>Наприкінці 2020 року (або у більш швидкий термін, який буде встановлено на підставі п. 9 Прикінцевих положень Закону № 294)  ОТГ повинна затвердити один (єдиний) бюджет для всієї громади, незалежно від того чи буде вона включена до переліку місцевих бюджетів, що мають прямі міжбюджетні відносини з державним бюджетом у 2021 році чи не включена.</w:t>
      </w:r>
    </w:p>
    <w:p w:rsidR="00383C4F" w:rsidRPr="00383C4F" w:rsidRDefault="00383C4F" w:rsidP="00383C4F">
      <w:pPr>
        <w:shd w:val="clear" w:color="auto" w:fill="FFFFFF"/>
        <w:spacing w:after="150" w:line="240" w:lineRule="auto"/>
        <w:jc w:val="both"/>
        <w:rPr>
          <w:rFonts w:ascii="Arial" w:eastAsia="Times New Roman" w:hAnsi="Arial" w:cs="Arial"/>
          <w:color w:val="333333"/>
          <w:sz w:val="21"/>
          <w:szCs w:val="21"/>
          <w:lang w:eastAsia="ru-RU"/>
        </w:rPr>
      </w:pPr>
      <w:r w:rsidRPr="00383C4F">
        <w:rPr>
          <w:rFonts w:ascii="Arial" w:eastAsia="Times New Roman" w:hAnsi="Arial" w:cs="Arial"/>
          <w:color w:val="333333"/>
          <w:sz w:val="21"/>
          <w:szCs w:val="21"/>
          <w:lang w:eastAsia="ru-RU"/>
        </w:rPr>
        <w:t> </w:t>
      </w:r>
    </w:p>
    <w:p w:rsidR="00383C4F" w:rsidRPr="00383C4F" w:rsidRDefault="00383C4F" w:rsidP="00383C4F">
      <w:pPr>
        <w:shd w:val="clear" w:color="auto" w:fill="FFFFFF"/>
        <w:spacing w:before="150" w:after="150" w:line="240" w:lineRule="auto"/>
        <w:jc w:val="both"/>
        <w:outlineLvl w:val="3"/>
        <w:rPr>
          <w:rFonts w:ascii="Arial" w:eastAsia="Times New Roman" w:hAnsi="Arial" w:cs="Arial"/>
          <w:color w:val="333333"/>
          <w:sz w:val="27"/>
          <w:szCs w:val="27"/>
          <w:lang w:eastAsia="ru-RU"/>
        </w:rPr>
      </w:pPr>
      <w:r w:rsidRPr="00383C4F">
        <w:rPr>
          <w:rFonts w:ascii="Arial" w:eastAsia="Times New Roman" w:hAnsi="Arial" w:cs="Arial"/>
          <w:b/>
          <w:bCs/>
          <w:color w:val="333333"/>
          <w:sz w:val="27"/>
          <w:szCs w:val="27"/>
          <w:lang w:eastAsia="ru-RU"/>
        </w:rPr>
        <w:t>Специфіка реорганізації</w:t>
      </w:r>
    </w:p>
    <w:p w:rsidR="00383C4F" w:rsidRPr="00383C4F" w:rsidRDefault="00383C4F" w:rsidP="00383C4F">
      <w:pPr>
        <w:shd w:val="clear" w:color="auto" w:fill="FFFFFF"/>
        <w:spacing w:after="150" w:line="240" w:lineRule="auto"/>
        <w:jc w:val="both"/>
        <w:rPr>
          <w:rFonts w:ascii="Arial" w:eastAsia="Times New Roman" w:hAnsi="Arial" w:cs="Arial"/>
          <w:color w:val="333333"/>
          <w:sz w:val="21"/>
          <w:szCs w:val="21"/>
          <w:lang w:eastAsia="ru-RU"/>
        </w:rPr>
      </w:pPr>
      <w:r w:rsidRPr="00383C4F">
        <w:rPr>
          <w:rFonts w:ascii="Arial" w:eastAsia="Times New Roman" w:hAnsi="Arial" w:cs="Arial"/>
          <w:color w:val="333333"/>
          <w:sz w:val="21"/>
          <w:szCs w:val="21"/>
          <w:lang w:eastAsia="ru-RU"/>
        </w:rPr>
        <w:t>На першому пленарному засіданні ради ОТГ, обраної у грудні 2019 року, мало бути прийняте рішення про реорганізацію ОМС територіальних громад, що увійшли до складу ОТГ. Не прийняти відповідне рішення не можна – це обумовлено ч. 2-4 ст. 8 Закону № 157. Реорганізація дозволяє розпочати процедури передачі майна, окремих майнових прав та зобов’язань від рад, що припиняються, до ради-«центральної садиби» у порядку правонаступництва.</w:t>
      </w:r>
    </w:p>
    <w:p w:rsidR="00383C4F" w:rsidRPr="00383C4F" w:rsidRDefault="00383C4F" w:rsidP="00383C4F">
      <w:pPr>
        <w:shd w:val="clear" w:color="auto" w:fill="FFFFFF"/>
        <w:spacing w:after="150" w:line="240" w:lineRule="auto"/>
        <w:jc w:val="both"/>
        <w:rPr>
          <w:rFonts w:ascii="Arial" w:eastAsia="Times New Roman" w:hAnsi="Arial" w:cs="Arial"/>
          <w:color w:val="333333"/>
          <w:sz w:val="21"/>
          <w:szCs w:val="21"/>
          <w:lang w:eastAsia="ru-RU"/>
        </w:rPr>
      </w:pPr>
      <w:r w:rsidRPr="00383C4F">
        <w:rPr>
          <w:rFonts w:ascii="Arial" w:eastAsia="Times New Roman" w:hAnsi="Arial" w:cs="Arial"/>
          <w:color w:val="333333"/>
          <w:sz w:val="21"/>
          <w:szCs w:val="21"/>
          <w:lang w:eastAsia="ru-RU"/>
        </w:rPr>
        <w:t>Однак ОМС ОТГ, яким присвячена ця публікація, не зможуть завершити реорганізацію до моменту прийняття рішення про спільний бюджет. А це станеться або внаслідок прийняття Парламентом рішення на виконання п. 9 Прикінцевих положень Закону № 294 всередині року, або лише по завершенню 2020 бюджетного року.</w:t>
      </w:r>
    </w:p>
    <w:p w:rsidR="00383C4F" w:rsidRPr="00383C4F" w:rsidRDefault="00383C4F" w:rsidP="00383C4F">
      <w:pPr>
        <w:shd w:val="clear" w:color="auto" w:fill="FFFFFF"/>
        <w:spacing w:after="150" w:line="240" w:lineRule="auto"/>
        <w:jc w:val="both"/>
        <w:rPr>
          <w:rFonts w:ascii="Arial" w:eastAsia="Times New Roman" w:hAnsi="Arial" w:cs="Arial"/>
          <w:color w:val="333333"/>
          <w:sz w:val="21"/>
          <w:szCs w:val="21"/>
          <w:lang w:eastAsia="ru-RU"/>
        </w:rPr>
      </w:pPr>
      <w:r w:rsidRPr="00383C4F">
        <w:rPr>
          <w:rFonts w:ascii="Arial" w:eastAsia="Times New Roman" w:hAnsi="Arial" w:cs="Arial"/>
          <w:color w:val="333333"/>
          <w:sz w:val="21"/>
          <w:szCs w:val="21"/>
          <w:lang w:eastAsia="ru-RU"/>
        </w:rPr>
        <w:t>Відповідно, не в усіх випадках буде доцільно форсувати проведення повної інвентаризації майна та зобов’язань територіальних громад, що увійшли до складу ОТГ, яка проводиться перед припиненням юридичних осіб-бюджетних установ. Адже така інвентаризація має включати не лише передачу товарних цінностей, а й залишків коштів ОМС-правонаступнику.</w:t>
      </w:r>
    </w:p>
    <w:p w:rsidR="00383C4F" w:rsidRPr="00383C4F" w:rsidRDefault="00383C4F" w:rsidP="00383C4F">
      <w:pPr>
        <w:shd w:val="clear" w:color="auto" w:fill="FFFFFF"/>
        <w:spacing w:after="150" w:line="240" w:lineRule="auto"/>
        <w:jc w:val="both"/>
        <w:rPr>
          <w:rFonts w:ascii="Arial" w:eastAsia="Times New Roman" w:hAnsi="Arial" w:cs="Arial"/>
          <w:color w:val="333333"/>
          <w:sz w:val="21"/>
          <w:szCs w:val="21"/>
          <w:lang w:eastAsia="ru-RU"/>
        </w:rPr>
      </w:pPr>
      <w:r w:rsidRPr="00383C4F">
        <w:rPr>
          <w:rFonts w:ascii="Arial" w:eastAsia="Times New Roman" w:hAnsi="Arial" w:cs="Arial"/>
          <w:color w:val="333333"/>
          <w:sz w:val="21"/>
          <w:szCs w:val="21"/>
          <w:lang w:eastAsia="ru-RU"/>
        </w:rPr>
        <w:t>Тому реорганізацію у описаному випадку доведеться проводити окремими етапами, що можуть істотно розтягтися у часі. Етапність проведення реорганізації має бути відображена у рішенні ради ОТГ про початок реорганізації та додатках до нього. Нагадуємо, що зазначене рішення можна коригувати.</w:t>
      </w:r>
    </w:p>
    <w:p w:rsidR="00383C4F" w:rsidRPr="00383C4F" w:rsidRDefault="00383C4F" w:rsidP="00383C4F">
      <w:pPr>
        <w:shd w:val="clear" w:color="auto" w:fill="FFFFFF"/>
        <w:spacing w:after="150" w:line="240" w:lineRule="auto"/>
        <w:jc w:val="both"/>
        <w:rPr>
          <w:rFonts w:ascii="Arial" w:eastAsia="Times New Roman" w:hAnsi="Arial" w:cs="Arial"/>
          <w:color w:val="333333"/>
          <w:sz w:val="21"/>
          <w:szCs w:val="21"/>
          <w:lang w:eastAsia="ru-RU"/>
        </w:rPr>
      </w:pPr>
      <w:r w:rsidRPr="00383C4F">
        <w:rPr>
          <w:rFonts w:ascii="Arial" w:eastAsia="Times New Roman" w:hAnsi="Arial" w:cs="Arial"/>
          <w:color w:val="333333"/>
          <w:sz w:val="21"/>
          <w:szCs w:val="21"/>
          <w:lang w:eastAsia="ru-RU"/>
        </w:rPr>
        <w:lastRenderedPageBreak/>
        <w:t>Незважаючи на численні складнощі, пов’язані із відсутністю прямих відносин з державним бюджетом, є й кілька позитивних моментів для «грудневих ОТГ». Так, у фахівців та депутатів ради-«центральної садиби» з’явиться час у спокійному режимі на підставі даних щорічної інвентаризації проаналізувати фінансовий стан ОМС, що припиняються, та утворених ними юридичних осіб, і прийняти зважені рішення щодо подальших кроків з управління активами та зобов’язаннями цих осіб. Відповідно, можна буде зважено підійти до формування мереж бюджетних установ ОТГ, формату надання публічних послуг. Також немає ніяких перешкод для початку реорганізації чи переформатування діяльності комунальних підприємств та перегляду підходів з надання житлово-комунальних послуг, благоустрою та адміністративних послуг на території ОТГ вже у 2020 році.</w:t>
      </w:r>
    </w:p>
    <w:p w:rsidR="00383C4F" w:rsidRPr="00383C4F" w:rsidRDefault="00383C4F" w:rsidP="00383C4F">
      <w:pPr>
        <w:shd w:val="clear" w:color="auto" w:fill="FFFFFF"/>
        <w:spacing w:after="150" w:line="240" w:lineRule="auto"/>
        <w:jc w:val="both"/>
        <w:rPr>
          <w:rFonts w:ascii="Arial" w:eastAsia="Times New Roman" w:hAnsi="Arial" w:cs="Arial"/>
          <w:color w:val="333333"/>
          <w:sz w:val="21"/>
          <w:szCs w:val="21"/>
          <w:lang w:eastAsia="ru-RU"/>
        </w:rPr>
      </w:pPr>
      <w:r w:rsidRPr="00383C4F">
        <w:rPr>
          <w:rFonts w:ascii="Arial" w:eastAsia="Times New Roman" w:hAnsi="Arial" w:cs="Arial"/>
          <w:color w:val="333333"/>
          <w:sz w:val="21"/>
          <w:szCs w:val="21"/>
          <w:lang w:eastAsia="ru-RU"/>
        </w:rPr>
        <w:t>Оскільки ОТГ поки не отримають фінансів на здійснення окремих видів своїх повноважень, не існуватиме імперативу щодо передачі ОТГ майна, що на разі знаходиться в управлінні районних рад. Рада ОТГ до прийняття рішення про перехід на прямі міжбюджетні відносини з державним бюджетом може тільки домовлятися з районною владою про передачу відповідного майна ОТГ та умови здійснення видатків на його утримання на «перехідний період».</w:t>
      </w:r>
    </w:p>
    <w:p w:rsidR="00383C4F" w:rsidRPr="00383C4F" w:rsidRDefault="00383C4F" w:rsidP="00383C4F">
      <w:pPr>
        <w:shd w:val="clear" w:color="auto" w:fill="FFFFFF"/>
        <w:spacing w:after="150" w:line="240" w:lineRule="auto"/>
        <w:jc w:val="both"/>
        <w:rPr>
          <w:rFonts w:ascii="Arial" w:eastAsia="Times New Roman" w:hAnsi="Arial" w:cs="Arial"/>
          <w:color w:val="333333"/>
          <w:sz w:val="21"/>
          <w:szCs w:val="21"/>
          <w:lang w:eastAsia="ru-RU"/>
        </w:rPr>
      </w:pPr>
      <w:r w:rsidRPr="00383C4F">
        <w:rPr>
          <w:rFonts w:ascii="Arial" w:eastAsia="Times New Roman" w:hAnsi="Arial" w:cs="Arial"/>
          <w:color w:val="333333"/>
          <w:sz w:val="21"/>
          <w:szCs w:val="21"/>
          <w:lang w:eastAsia="ru-RU"/>
        </w:rPr>
        <w:t>Звертаємо увагу, що чимало питань, пов’язаних з реорганізацією ОМС ОТГ, перші вибори у яких відбулися у грудні 2019 року, будуть мати свою специфіку, обумовлену конкретними обставинами на конкретній території. Тому будьте дуже уважними, використовуючи узагальнені поради та рекомендації, і при прийнятті власних рішень ураховуйте чинники та фактори, властиві саме вашій ОТГ. Для цього проаналізуйте прийняті радами, що припиняються, рішення про встановлення ставок місцевих податків і зборів, порядки управління об’єктами комунальної власності, у т.ч. земельними ресурсами. Не забувайте, що рада ОТГ, обрана на перших виборах, може приймати загальні рішення, які будуть обов’язковими до виконання на усій території ОТГ, у тому числі, скасовуючи, доповнюючи чи змінюючи рішення усіх ОМС, що увійшли до складу ОТГ.</w:t>
      </w:r>
    </w:p>
    <w:p w:rsidR="00383C4F" w:rsidRPr="00383C4F" w:rsidRDefault="00383C4F" w:rsidP="00383C4F">
      <w:pPr>
        <w:shd w:val="clear" w:color="auto" w:fill="FFFFFF"/>
        <w:spacing w:after="150" w:line="240" w:lineRule="auto"/>
        <w:jc w:val="both"/>
        <w:rPr>
          <w:rFonts w:ascii="Arial" w:eastAsia="Times New Roman" w:hAnsi="Arial" w:cs="Arial"/>
          <w:color w:val="333333"/>
          <w:sz w:val="21"/>
          <w:szCs w:val="21"/>
          <w:lang w:eastAsia="ru-RU"/>
        </w:rPr>
      </w:pPr>
      <w:r w:rsidRPr="00383C4F">
        <w:rPr>
          <w:rFonts w:ascii="Arial" w:eastAsia="Times New Roman" w:hAnsi="Arial" w:cs="Arial"/>
          <w:color w:val="333333"/>
          <w:sz w:val="21"/>
          <w:szCs w:val="21"/>
          <w:lang w:eastAsia="ru-RU"/>
        </w:rPr>
        <w:t>Звісно, новобраним ОМС ОТГ у першу чергу доведеться вирішувати питання освіти та охорони здоров’я, а також утримання бюджетних установ на території ОТГ. Тут обов’язково ураховуйте, що з квітня 2020 року будуть діяти нові правила публічних закупівель, а отже, до цього треба почати готуватися вже зараз, оформлюючи відповідне правонаступництво та плануючи зміни до бюджетів, якими буде управляти рада-«центральна садиба» протягом перехідного періоду.</w:t>
      </w:r>
    </w:p>
    <w:p w:rsidR="00383C4F" w:rsidRPr="00383C4F" w:rsidRDefault="00383C4F" w:rsidP="00383C4F">
      <w:pPr>
        <w:shd w:val="clear" w:color="auto" w:fill="FFFFFF"/>
        <w:spacing w:after="150" w:line="240" w:lineRule="auto"/>
        <w:jc w:val="both"/>
        <w:rPr>
          <w:rFonts w:ascii="Arial" w:eastAsia="Times New Roman" w:hAnsi="Arial" w:cs="Arial"/>
          <w:color w:val="333333"/>
          <w:sz w:val="21"/>
          <w:szCs w:val="21"/>
          <w:lang w:eastAsia="ru-RU"/>
        </w:rPr>
      </w:pPr>
      <w:r w:rsidRPr="00383C4F">
        <w:rPr>
          <w:rFonts w:ascii="Arial" w:eastAsia="Times New Roman" w:hAnsi="Arial" w:cs="Arial"/>
          <w:color w:val="333333"/>
          <w:sz w:val="21"/>
          <w:szCs w:val="21"/>
          <w:lang w:eastAsia="ru-RU"/>
        </w:rPr>
        <w:t>ОМС ОТГ доведеться також почати вирішувати питання, з якими більшості з громад раніше не доводилося стикатися. Серед таких, зокрема, будуть питання щодо об’єктів інфраструктури, у тому числі утримання та ремонту доріг та вулиць усередині населених пунктів на усій території ОТГ. Приділіть протягом найближчих місяців особливу увагу на документарне оформлення та фактичну приналежність таких об’єктів – є час організувати дуже просту та цілком законну процедуру їх оприбуткування внаслідок реорганізації. Потім такої можливості вже не буде.</w:t>
      </w:r>
    </w:p>
    <w:p w:rsidR="00383C4F" w:rsidRPr="00383C4F" w:rsidRDefault="00383C4F" w:rsidP="00383C4F">
      <w:pPr>
        <w:shd w:val="clear" w:color="auto" w:fill="FFFFFF"/>
        <w:spacing w:after="150" w:line="240" w:lineRule="auto"/>
        <w:jc w:val="both"/>
        <w:rPr>
          <w:rFonts w:ascii="Arial" w:eastAsia="Times New Roman" w:hAnsi="Arial" w:cs="Arial"/>
          <w:color w:val="333333"/>
          <w:sz w:val="21"/>
          <w:szCs w:val="21"/>
          <w:lang w:eastAsia="ru-RU"/>
        </w:rPr>
      </w:pPr>
      <w:r w:rsidRPr="00383C4F">
        <w:rPr>
          <w:rFonts w:ascii="Arial" w:eastAsia="Times New Roman" w:hAnsi="Arial" w:cs="Arial"/>
          <w:color w:val="333333"/>
          <w:sz w:val="21"/>
          <w:szCs w:val="21"/>
          <w:lang w:eastAsia="ru-RU"/>
        </w:rPr>
        <w:t>До питань дещо «екзотичних» для звичайних громад, але істотних для ОТГ, відноситься і специфіка забудови населених пунктів – це впливатиме на визначення підходів для забезпечення надання житлово-комунальних послуг у 2020 році та формування тарифів, а також організацію благоустрою. На час перехідного періоду ви можете проаналізувати й цей напрямок та зробити певну підготовчу роботу, наприклад, щодо затвердження єдиних правил благоустрою на території ОТГ, розрахунку цін та тарифів на платні послуги, провести їх публічне обговорення.</w:t>
      </w:r>
    </w:p>
    <w:p w:rsidR="00383C4F" w:rsidRPr="00383C4F" w:rsidRDefault="00383C4F" w:rsidP="00383C4F">
      <w:pPr>
        <w:shd w:val="clear" w:color="auto" w:fill="FFFFFF"/>
        <w:spacing w:after="150" w:line="240" w:lineRule="auto"/>
        <w:jc w:val="both"/>
        <w:rPr>
          <w:rFonts w:ascii="Arial" w:eastAsia="Times New Roman" w:hAnsi="Arial" w:cs="Arial"/>
          <w:color w:val="333333"/>
          <w:sz w:val="21"/>
          <w:szCs w:val="21"/>
          <w:lang w:eastAsia="ru-RU"/>
        </w:rPr>
      </w:pPr>
      <w:r w:rsidRPr="00383C4F">
        <w:rPr>
          <w:rFonts w:ascii="Arial" w:eastAsia="Times New Roman" w:hAnsi="Arial" w:cs="Arial"/>
          <w:color w:val="333333"/>
          <w:sz w:val="21"/>
          <w:szCs w:val="21"/>
          <w:lang w:eastAsia="ru-RU"/>
        </w:rPr>
        <w:t>Не забувайте, що значна частина актів, які вам зараз доведеться приймати, будуть віднесені до категорії регуляторних. А отже їхню розробку та узгодження бажано почати завчасно, аби не втрачати дорогоцінний час. А тому після аналізу відповідних положень та системних актів з управління активами усіх територіальних громад, які увійшли до складу ОТГ, потрібно скласти та оприлюднити план регуляторної діяльності та приступити до розробки та погодження відповідних регуляторних актів (чи унесення змін у вже існуючі).</w:t>
      </w:r>
    </w:p>
    <w:p w:rsidR="00383C4F" w:rsidRPr="00383C4F" w:rsidRDefault="00383C4F" w:rsidP="00383C4F">
      <w:pPr>
        <w:shd w:val="clear" w:color="auto" w:fill="FFFFFF"/>
        <w:spacing w:after="150" w:line="240" w:lineRule="auto"/>
        <w:jc w:val="both"/>
        <w:rPr>
          <w:rFonts w:ascii="Arial" w:eastAsia="Times New Roman" w:hAnsi="Arial" w:cs="Arial"/>
          <w:color w:val="333333"/>
          <w:sz w:val="21"/>
          <w:szCs w:val="21"/>
          <w:lang w:eastAsia="ru-RU"/>
        </w:rPr>
      </w:pPr>
      <w:r w:rsidRPr="00383C4F">
        <w:rPr>
          <w:rFonts w:ascii="Arial" w:eastAsia="Times New Roman" w:hAnsi="Arial" w:cs="Arial"/>
          <w:color w:val="333333"/>
          <w:sz w:val="21"/>
          <w:szCs w:val="21"/>
          <w:lang w:eastAsia="ru-RU"/>
        </w:rPr>
        <w:t>Усі ці питання треба продумати заздалегідь – вони вплинуть не лише на управління бюджетами рад, що увійшли до складу ОТГ, а й на формування організаційної структури ОМС ОТГ.</w:t>
      </w:r>
    </w:p>
    <w:p w:rsidR="00383C4F" w:rsidRPr="00383C4F" w:rsidRDefault="00383C4F" w:rsidP="00383C4F">
      <w:pPr>
        <w:shd w:val="clear" w:color="auto" w:fill="FFFFFF"/>
        <w:spacing w:after="150" w:line="240" w:lineRule="auto"/>
        <w:jc w:val="both"/>
        <w:rPr>
          <w:rFonts w:ascii="Arial" w:eastAsia="Times New Roman" w:hAnsi="Arial" w:cs="Arial"/>
          <w:color w:val="333333"/>
          <w:sz w:val="21"/>
          <w:szCs w:val="21"/>
          <w:lang w:eastAsia="ru-RU"/>
        </w:rPr>
      </w:pPr>
      <w:r w:rsidRPr="00383C4F">
        <w:rPr>
          <w:rFonts w:ascii="Arial" w:eastAsia="Times New Roman" w:hAnsi="Arial" w:cs="Arial"/>
          <w:color w:val="333333"/>
          <w:sz w:val="21"/>
          <w:szCs w:val="21"/>
          <w:lang w:eastAsia="ru-RU"/>
        </w:rPr>
        <w:t> </w:t>
      </w:r>
    </w:p>
    <w:p w:rsidR="00383C4F" w:rsidRPr="00383C4F" w:rsidRDefault="00383C4F" w:rsidP="00383C4F">
      <w:pPr>
        <w:shd w:val="clear" w:color="auto" w:fill="FFFFFF"/>
        <w:spacing w:before="150" w:after="150" w:line="240" w:lineRule="auto"/>
        <w:jc w:val="both"/>
        <w:outlineLvl w:val="3"/>
        <w:rPr>
          <w:rFonts w:ascii="Arial" w:eastAsia="Times New Roman" w:hAnsi="Arial" w:cs="Arial"/>
          <w:color w:val="333333"/>
          <w:sz w:val="27"/>
          <w:szCs w:val="27"/>
          <w:lang w:eastAsia="ru-RU"/>
        </w:rPr>
      </w:pPr>
      <w:r w:rsidRPr="00383C4F">
        <w:rPr>
          <w:rFonts w:ascii="Arial" w:eastAsia="Times New Roman" w:hAnsi="Arial" w:cs="Arial"/>
          <w:b/>
          <w:bCs/>
          <w:color w:val="333333"/>
          <w:sz w:val="27"/>
          <w:szCs w:val="27"/>
          <w:lang w:eastAsia="ru-RU"/>
        </w:rPr>
        <w:t>Кадрові особливості</w:t>
      </w:r>
    </w:p>
    <w:p w:rsidR="00383C4F" w:rsidRPr="00383C4F" w:rsidRDefault="00383C4F" w:rsidP="00383C4F">
      <w:pPr>
        <w:shd w:val="clear" w:color="auto" w:fill="FFFFFF"/>
        <w:spacing w:after="150" w:line="240" w:lineRule="auto"/>
        <w:jc w:val="both"/>
        <w:rPr>
          <w:rFonts w:ascii="Arial" w:eastAsia="Times New Roman" w:hAnsi="Arial" w:cs="Arial"/>
          <w:color w:val="333333"/>
          <w:sz w:val="21"/>
          <w:szCs w:val="21"/>
          <w:lang w:eastAsia="ru-RU"/>
        </w:rPr>
      </w:pPr>
      <w:r w:rsidRPr="00383C4F">
        <w:rPr>
          <w:rFonts w:ascii="Arial" w:eastAsia="Times New Roman" w:hAnsi="Arial" w:cs="Arial"/>
          <w:color w:val="333333"/>
          <w:sz w:val="21"/>
          <w:szCs w:val="21"/>
          <w:lang w:eastAsia="ru-RU"/>
        </w:rPr>
        <w:lastRenderedPageBreak/>
        <w:t>Відповідно до ч. 2 ст. 8 Закону № 157 повноваження сільських, селищних, міських рад, сільських, селищних, міських голів, обраних територіальними громадами, що об’єдналися, завершуються в день набуття повноважень сільською, селищною, міською радою, обраною ОТГ. Після завершення повноважень сільських, селищних, міських рад, обраних територіальними громадами, що об’єдналися, їхні виконавчі комітети продовжують здійснювати свої повноваження до затвердження сільською, селищною, міською радою, обраною ОТГ, персонального складу її виконавчого комітету. Протягом зазначеного строку сільський, селищний, міський голова, обраний ОТГ, очолює такі виконавчі комітети та входить до їх персонального складу. Після завершення повноважень сільського голови, який одноособово виконував функції виконавчого органу сільської ради у територіальній громаді, що увійшла до ОТГ, відповідні функції одноособово виконує сільський, селищний, міський голова, обраний ОТГ, з дня набуття ним повноважень до затвердження відповідною сільською, селищною, міською радою персонального складу її виконавчого комітету.</w:t>
      </w:r>
    </w:p>
    <w:p w:rsidR="00383C4F" w:rsidRPr="00383C4F" w:rsidRDefault="00383C4F" w:rsidP="00383C4F">
      <w:pPr>
        <w:shd w:val="clear" w:color="auto" w:fill="FFFFFF"/>
        <w:spacing w:after="150" w:line="240" w:lineRule="auto"/>
        <w:jc w:val="both"/>
        <w:rPr>
          <w:rFonts w:ascii="Arial" w:eastAsia="Times New Roman" w:hAnsi="Arial" w:cs="Arial"/>
          <w:color w:val="333333"/>
          <w:sz w:val="21"/>
          <w:szCs w:val="21"/>
          <w:lang w:eastAsia="ru-RU"/>
        </w:rPr>
      </w:pPr>
      <w:r w:rsidRPr="00383C4F">
        <w:rPr>
          <w:rFonts w:ascii="Arial" w:eastAsia="Times New Roman" w:hAnsi="Arial" w:cs="Arial"/>
          <w:color w:val="333333"/>
          <w:sz w:val="21"/>
          <w:szCs w:val="21"/>
          <w:lang w:eastAsia="ru-RU"/>
        </w:rPr>
        <w:t>Таким чином, згідно зазначеної вище норми Закону № 157, повноваження сільських, селищних рад та відповідних сільських, селищних голів завершуються в день набуття повноважень радою ОТГ, тобто – в день проведення першого пленарного засідання першої сесії відповідної ради ОТГ.</w:t>
      </w:r>
    </w:p>
    <w:p w:rsidR="00383C4F" w:rsidRPr="00383C4F" w:rsidRDefault="00383C4F" w:rsidP="00383C4F">
      <w:pPr>
        <w:shd w:val="clear" w:color="auto" w:fill="FFFFFF"/>
        <w:spacing w:after="150" w:line="240" w:lineRule="auto"/>
        <w:jc w:val="both"/>
        <w:rPr>
          <w:rFonts w:ascii="Arial" w:eastAsia="Times New Roman" w:hAnsi="Arial" w:cs="Arial"/>
          <w:color w:val="333333"/>
          <w:sz w:val="21"/>
          <w:szCs w:val="21"/>
          <w:lang w:eastAsia="ru-RU"/>
        </w:rPr>
      </w:pPr>
      <w:r w:rsidRPr="00383C4F">
        <w:rPr>
          <w:rFonts w:ascii="Arial" w:eastAsia="Times New Roman" w:hAnsi="Arial" w:cs="Arial"/>
          <w:color w:val="333333"/>
          <w:sz w:val="21"/>
          <w:szCs w:val="21"/>
          <w:lang w:eastAsia="ru-RU"/>
        </w:rPr>
        <w:t>З огляду на завершення повноважень зазначених ОМС та їх посадових осіб, рада ОТГ відповідно до вимог ч. 4 ст. 8 Закону № 157 має розпочати процедуру реорганізації  відповідних юридичних осіб – сільських, селищних, міських рад, обраних територіальними громадами, що об’єдналися, та розміщених поза адміністративним центром ОТГ, шляхом їх приєднання до юридичної особи – сільської, селищної, міської ради, розміщеної в адміністративному центрі ОТГ. Дата початку реорганізації визначена законом – це день першого пленарного засідання новообраної ради ОТГ. А ось дата завершення реорганізації законом не регламентована і встановлюється безпосередньо рішенням ради ОТГ з урахуванням приписів чинного законодавства. Тож почати вирішувати питання вивільнення чи переведення працівників можна одразу, а завершити його – вже наприкінці реорганізації відповідних ОМС (у разі неприйняття рішення згідно з п. 9 прикінцевих положень Закону № 294 це може статися аж по завершенні поточного бюджетного року).</w:t>
      </w:r>
    </w:p>
    <w:p w:rsidR="00383C4F" w:rsidRPr="00383C4F" w:rsidRDefault="00383C4F" w:rsidP="00383C4F">
      <w:pPr>
        <w:shd w:val="clear" w:color="auto" w:fill="FFFFFF"/>
        <w:spacing w:after="150" w:line="240" w:lineRule="auto"/>
        <w:jc w:val="both"/>
        <w:rPr>
          <w:rFonts w:ascii="Arial" w:eastAsia="Times New Roman" w:hAnsi="Arial" w:cs="Arial"/>
          <w:color w:val="333333"/>
          <w:sz w:val="21"/>
          <w:szCs w:val="21"/>
          <w:lang w:eastAsia="ru-RU"/>
        </w:rPr>
      </w:pPr>
      <w:r w:rsidRPr="00383C4F">
        <w:rPr>
          <w:rFonts w:ascii="Arial" w:eastAsia="Times New Roman" w:hAnsi="Arial" w:cs="Arial"/>
          <w:color w:val="333333"/>
          <w:sz w:val="21"/>
          <w:szCs w:val="21"/>
          <w:lang w:eastAsia="ru-RU"/>
        </w:rPr>
        <w:t>«Кадрова» частина процедури реорганізації включає в себе попередження працівників сільських, селищних рад, розміщених поза адміністративним центром ОТГ, про наступне вивільнення у порядку, визначеному ст. 49-2 Кодексу законів про працю України не пізніше, ніж за 2 місяці до дня фактичного вивільнення. Одночасно з попередженням працівникові пропонується інша робота (у разі її наявності). Звертаємо увагу, що строк попередження може бути більшим за 2 місяці – заборона існує тільки на його скорочення.</w:t>
      </w:r>
    </w:p>
    <w:p w:rsidR="00383C4F" w:rsidRPr="00383C4F" w:rsidRDefault="00383C4F" w:rsidP="00383C4F">
      <w:pPr>
        <w:shd w:val="clear" w:color="auto" w:fill="FFFFFF"/>
        <w:spacing w:after="150" w:line="240" w:lineRule="auto"/>
        <w:jc w:val="both"/>
        <w:rPr>
          <w:rFonts w:ascii="Arial" w:eastAsia="Times New Roman" w:hAnsi="Arial" w:cs="Arial"/>
          <w:color w:val="333333"/>
          <w:sz w:val="21"/>
          <w:szCs w:val="21"/>
          <w:lang w:eastAsia="ru-RU"/>
        </w:rPr>
      </w:pPr>
      <w:r w:rsidRPr="00383C4F">
        <w:rPr>
          <w:rFonts w:ascii="Arial" w:eastAsia="Times New Roman" w:hAnsi="Arial" w:cs="Arial"/>
          <w:color w:val="333333"/>
          <w:sz w:val="21"/>
          <w:szCs w:val="21"/>
          <w:lang w:eastAsia="ru-RU"/>
        </w:rPr>
        <w:t>На час відсутності у ради ОТГ прямих міжбюджетних відносин з державним бюджетом, рада ОТГ та її виконавчі органи не набудуть всіх передбачених законом повноважень, властивих звичайним ОТГ, та матимуть дещо обмежені можливості на уведення нових посад. Тому плануючи нові структури ураховуйте, на забезпечення виконання яких повноважень ОМС ви уводите нові посади (змінюєте посадові інструкції тощо). Відсутність якісного планування з цих питань може призвести до того, що будуть утворені посади для виконання повноважень щодо яких у ОТГ тимчасово відсутнє фінансування. Але й відсутність нової структури виконавчих органів ради ОТГ на час попередження працівників про наступне вивільнення, у свою чергу, позбавить вас можливості вчасно попередити працівників рад, що припиняються, про наступне вивільнення та запропонувати їм посади у ОМС ради-«центральної садиби» у встановлений законом строк. Тож при плануванні нової структури ОМС ОТГ, будьте максимально уважні та ураховуйте специфіку, властиву вашій громаді.</w:t>
      </w:r>
    </w:p>
    <w:p w:rsidR="00383C4F" w:rsidRPr="00383C4F" w:rsidRDefault="00383C4F" w:rsidP="00383C4F">
      <w:pPr>
        <w:shd w:val="clear" w:color="auto" w:fill="FFFFFF"/>
        <w:spacing w:after="150" w:line="240" w:lineRule="auto"/>
        <w:jc w:val="both"/>
        <w:rPr>
          <w:rFonts w:ascii="Arial" w:eastAsia="Times New Roman" w:hAnsi="Arial" w:cs="Arial"/>
          <w:color w:val="333333"/>
          <w:sz w:val="21"/>
          <w:szCs w:val="21"/>
          <w:lang w:eastAsia="ru-RU"/>
        </w:rPr>
      </w:pPr>
      <w:r w:rsidRPr="00383C4F">
        <w:rPr>
          <w:rFonts w:ascii="Arial" w:eastAsia="Times New Roman" w:hAnsi="Arial" w:cs="Arial"/>
          <w:b/>
          <w:bCs/>
          <w:i/>
          <w:iCs/>
          <w:color w:val="333333"/>
          <w:sz w:val="21"/>
          <w:szCs w:val="21"/>
          <w:lang w:eastAsia="ru-RU"/>
        </w:rPr>
        <w:t>Асоціація ОТГ готова надавати індивідуальні консультації та підтримку своїм членам у разі виникнення питань, пов’язаних із реорганізацією ОМС ОТГ, перші вибори у яких відбулися у грудні 2019 року.</w:t>
      </w:r>
    </w:p>
    <w:p w:rsidR="002F5A26" w:rsidRDefault="002F5A26">
      <w:bookmarkStart w:id="0" w:name="_GoBack"/>
      <w:bookmarkEnd w:id="0"/>
    </w:p>
    <w:sectPr w:rsidR="002F5A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5E3A33"/>
    <w:multiLevelType w:val="multilevel"/>
    <w:tmpl w:val="0C104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4DE"/>
    <w:rsid w:val="002F5A26"/>
    <w:rsid w:val="00383C4F"/>
    <w:rsid w:val="00AB0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6727BB-92EE-4C85-9CE3-DF3294F20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383C4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383C4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83C4F"/>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383C4F"/>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383C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83C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439411">
      <w:bodyDiv w:val="1"/>
      <w:marLeft w:val="0"/>
      <w:marRight w:val="0"/>
      <w:marTop w:val="0"/>
      <w:marBottom w:val="0"/>
      <w:divBdr>
        <w:top w:val="none" w:sz="0" w:space="0" w:color="auto"/>
        <w:left w:val="none" w:sz="0" w:space="0" w:color="auto"/>
        <w:bottom w:val="none" w:sz="0" w:space="0" w:color="auto"/>
        <w:right w:val="none" w:sz="0" w:space="0" w:color="auto"/>
      </w:divBdr>
      <w:divsChild>
        <w:div w:id="200675234">
          <w:marLeft w:val="0"/>
          <w:marRight w:val="0"/>
          <w:marTop w:val="0"/>
          <w:marBottom w:val="0"/>
          <w:divBdr>
            <w:top w:val="none" w:sz="0" w:space="0" w:color="auto"/>
            <w:left w:val="none" w:sz="0" w:space="0" w:color="auto"/>
            <w:bottom w:val="none" w:sz="0" w:space="0" w:color="auto"/>
            <w:right w:val="none" w:sz="0" w:space="0" w:color="auto"/>
          </w:divBdr>
        </w:div>
        <w:div w:id="1926575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2263</Words>
  <Characters>12902</Characters>
  <Application>Microsoft Office Word</Application>
  <DocSecurity>0</DocSecurity>
  <Lines>107</Lines>
  <Paragraphs>30</Paragraphs>
  <ScaleCrop>false</ScaleCrop>
  <Company>SPecialiST RePack</Company>
  <LinksUpToDate>false</LinksUpToDate>
  <CharactersWithSpaces>15135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2</cp:revision>
  <dcterms:created xsi:type="dcterms:W3CDTF">2020-01-31T11:22:00Z</dcterms:created>
  <dcterms:modified xsi:type="dcterms:W3CDTF">2020-01-31T11:22:00Z</dcterms:modified>
</cp:coreProperties>
</file>