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9C" w:rsidRPr="005F259C" w:rsidRDefault="005F259C" w:rsidP="005F259C">
      <w:pPr>
        <w:shd w:val="clear" w:color="auto" w:fill="FFFFFF"/>
        <w:spacing w:before="300" w:after="600" w:line="240" w:lineRule="auto"/>
        <w:outlineLvl w:val="1"/>
        <w:rPr>
          <w:rFonts w:ascii="Arial" w:eastAsia="Times New Roman" w:hAnsi="Arial" w:cs="Arial"/>
          <w:color w:val="333333"/>
          <w:sz w:val="45"/>
          <w:szCs w:val="45"/>
          <w:lang w:eastAsia="ru-RU"/>
        </w:rPr>
      </w:pPr>
      <w:r w:rsidRPr="005F259C">
        <w:rPr>
          <w:rFonts w:ascii="Arial" w:eastAsia="Times New Roman" w:hAnsi="Arial" w:cs="Arial"/>
          <w:color w:val="333333"/>
          <w:sz w:val="45"/>
          <w:szCs w:val="45"/>
          <w:lang w:eastAsia="ru-RU"/>
        </w:rPr>
        <w:t>За якою системою проходитимуть місцеві вибори</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1 січня 2020 року набув чинності Виборчий кодекс України (</w:t>
      </w:r>
      <w:hyperlink r:id="rId5" w:tgtFrame="_blank" w:history="1">
        <w:r w:rsidRPr="005F259C">
          <w:rPr>
            <w:rFonts w:ascii="Arial" w:eastAsia="Times New Roman" w:hAnsi="Arial" w:cs="Arial"/>
            <w:b/>
            <w:bCs/>
            <w:color w:val="337AB7"/>
            <w:sz w:val="21"/>
            <w:szCs w:val="21"/>
            <w:lang w:eastAsia="ru-RU"/>
          </w:rPr>
          <w:t>Закон № 396-ІХ від 19.12. 2019р.</w:t>
        </w:r>
      </w:hyperlink>
      <w:r w:rsidRPr="005F259C">
        <w:rPr>
          <w:rFonts w:ascii="Arial" w:eastAsia="Times New Roman" w:hAnsi="Arial" w:cs="Arial"/>
          <w:b/>
          <w:bCs/>
          <w:color w:val="333333"/>
          <w:sz w:val="21"/>
          <w:szCs w:val="21"/>
          <w:lang w:eastAsia="ru-RU"/>
        </w:rPr>
        <w:t>), який передбачає декілька новацій у проведенні місцевих виборів. Таким чином, якщо законодавство найближчим часом не зміниться, вибори місцевих рад та голів громад у цьому році відбуватимуться за новими правилами. У аналітичному центрі Асоціації міст України коротко розповіли про головні новації. </w:t>
      </w:r>
    </w:p>
    <w:p w:rsidR="005F259C" w:rsidRPr="005F259C" w:rsidRDefault="005F259C" w:rsidP="005F259C">
      <w:pPr>
        <w:shd w:val="clear" w:color="auto" w:fill="FFFFFF"/>
        <w:spacing w:before="300" w:after="30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pict>
          <v:rect id="_x0000_i1027" style="width:0;height:0" o:hralign="center" o:hrstd="t" o:hr="t" fillcolor="#a0a0a0" stroked="f"/>
        </w:pic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before="150" w:after="150" w:line="240" w:lineRule="auto"/>
        <w:outlineLvl w:val="3"/>
        <w:rPr>
          <w:rFonts w:ascii="Arial" w:eastAsia="Times New Roman" w:hAnsi="Arial" w:cs="Arial"/>
          <w:color w:val="333333"/>
          <w:sz w:val="27"/>
          <w:szCs w:val="27"/>
          <w:lang w:eastAsia="ru-RU"/>
        </w:rPr>
      </w:pPr>
      <w:r w:rsidRPr="005F259C">
        <w:rPr>
          <w:rFonts w:ascii="Arial" w:eastAsia="Times New Roman" w:hAnsi="Arial" w:cs="Arial"/>
          <w:b/>
          <w:bCs/>
          <w:color w:val="333333"/>
          <w:sz w:val="27"/>
          <w:szCs w:val="27"/>
          <w:lang w:eastAsia="ru-RU"/>
        </w:rPr>
        <w:t>Дві різні виборчі системи на місцевих виборах</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На виборах </w:t>
      </w:r>
      <w:r w:rsidRPr="005F259C">
        <w:rPr>
          <w:rFonts w:ascii="Arial" w:eastAsia="Times New Roman" w:hAnsi="Arial" w:cs="Arial"/>
          <w:b/>
          <w:bCs/>
          <w:color w:val="333333"/>
          <w:sz w:val="21"/>
          <w:szCs w:val="21"/>
          <w:lang w:eastAsia="ru-RU"/>
        </w:rPr>
        <w:t>депутатів місцевих рад </w:t>
      </w:r>
      <w:r w:rsidRPr="005F259C">
        <w:rPr>
          <w:rFonts w:ascii="Arial" w:eastAsia="Times New Roman" w:hAnsi="Arial" w:cs="Arial"/>
          <w:color w:val="333333"/>
          <w:sz w:val="21"/>
          <w:szCs w:val="21"/>
          <w:lang w:eastAsia="ru-RU"/>
        </w:rPr>
        <w:t>буде застосовуватися дві різні виборчі системи, залежно від типу виборів та величини адміністративно-територіальних одиниць:</w:t>
      </w:r>
    </w:p>
    <w:p w:rsidR="005F259C" w:rsidRPr="005F259C" w:rsidRDefault="005F259C" w:rsidP="005F259C">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xml:space="preserve">в містах з кількістю виборців до 90 тисяч </w:t>
      </w:r>
      <w:proofErr w:type="gramStart"/>
      <w:r w:rsidRPr="005F259C">
        <w:rPr>
          <w:rFonts w:ascii="Arial" w:eastAsia="Times New Roman" w:hAnsi="Arial" w:cs="Arial"/>
          <w:color w:val="333333"/>
          <w:sz w:val="21"/>
          <w:szCs w:val="21"/>
          <w:lang w:eastAsia="ru-RU"/>
        </w:rPr>
        <w:t>осіб: </w:t>
      </w:r>
      <w:r w:rsidRPr="005F259C">
        <w:rPr>
          <w:rFonts w:ascii="Arial" w:eastAsia="Times New Roman" w:hAnsi="Arial" w:cs="Arial"/>
          <w:b/>
          <w:bCs/>
          <w:color w:val="333333"/>
          <w:sz w:val="21"/>
          <w:szCs w:val="21"/>
          <w:lang w:eastAsia="ru-RU"/>
        </w:rPr>
        <w:t> мажоритарна</w:t>
      </w:r>
      <w:proofErr w:type="gramEnd"/>
      <w:r w:rsidRPr="005F259C">
        <w:rPr>
          <w:rFonts w:ascii="Arial" w:eastAsia="Times New Roman" w:hAnsi="Arial" w:cs="Arial"/>
          <w:b/>
          <w:bCs/>
          <w:color w:val="333333"/>
          <w:sz w:val="21"/>
          <w:szCs w:val="21"/>
          <w:lang w:eastAsia="ru-RU"/>
        </w:rPr>
        <w:t xml:space="preserve"> система</w:t>
      </w:r>
      <w:r w:rsidRPr="005F259C">
        <w:rPr>
          <w:rFonts w:ascii="Arial" w:eastAsia="Times New Roman" w:hAnsi="Arial" w:cs="Arial"/>
          <w:color w:val="333333"/>
          <w:sz w:val="21"/>
          <w:szCs w:val="21"/>
          <w:lang w:eastAsia="ru-RU"/>
        </w:rPr>
        <w:t> відносної більшості з голосуванням у багатомандатних виборчих округах – для виборів депутатів сільських, селищних, міських і районних  в містах рад, рад відповідних ОТГ, а також районних рад;</w:t>
      </w:r>
    </w:p>
    <w:p w:rsidR="005F259C" w:rsidRPr="005F259C" w:rsidRDefault="005F259C" w:rsidP="005F259C">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в містах з кількістю виборців 90 тисяч і більше осіб:</w:t>
      </w:r>
      <w:r w:rsidRPr="005F259C">
        <w:rPr>
          <w:rFonts w:ascii="Arial" w:eastAsia="Times New Roman" w:hAnsi="Arial" w:cs="Arial"/>
          <w:b/>
          <w:bCs/>
          <w:color w:val="333333"/>
          <w:sz w:val="21"/>
          <w:szCs w:val="21"/>
          <w:lang w:eastAsia="ru-RU"/>
        </w:rPr>
        <w:t> пропорційна система</w:t>
      </w:r>
      <w:r w:rsidRPr="005F259C">
        <w:rPr>
          <w:rFonts w:ascii="Arial" w:eastAsia="Times New Roman" w:hAnsi="Arial" w:cs="Arial"/>
          <w:color w:val="333333"/>
          <w:sz w:val="21"/>
          <w:szCs w:val="21"/>
          <w:lang w:eastAsia="ru-RU"/>
        </w:rPr>
        <w:t xml:space="preserve"> з відкритими партійними списками – для виборів депутатів обласних, міських рад і міських ОТГ, а також Верховної Ради Автономної Республіки Крим. Право на участь у розподілі депутатських мандатів матимуть лише ті місцеві організації партій, які подолають 5-відсотковий виборчий бар’єр </w:t>
      </w:r>
      <w:proofErr w:type="gramStart"/>
      <w:r w:rsidRPr="005F259C">
        <w:rPr>
          <w:rFonts w:ascii="Arial" w:eastAsia="Times New Roman" w:hAnsi="Arial" w:cs="Arial"/>
          <w:color w:val="333333"/>
          <w:sz w:val="21"/>
          <w:szCs w:val="21"/>
          <w:lang w:eastAsia="ru-RU"/>
        </w:rPr>
        <w:t>у межах</w:t>
      </w:r>
      <w:proofErr w:type="gramEnd"/>
      <w:r w:rsidRPr="005F259C">
        <w:rPr>
          <w:rFonts w:ascii="Arial" w:eastAsia="Times New Roman" w:hAnsi="Arial" w:cs="Arial"/>
          <w:color w:val="333333"/>
          <w:sz w:val="21"/>
          <w:szCs w:val="21"/>
          <w:lang w:eastAsia="ru-RU"/>
        </w:rPr>
        <w:t xml:space="preserve"> єдиного багатомандатного округу</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На виборах сільських, селищних, міських</w:t>
      </w:r>
      <w:r w:rsidRPr="005F259C">
        <w:rPr>
          <w:rFonts w:ascii="Arial" w:eastAsia="Times New Roman" w:hAnsi="Arial" w:cs="Arial"/>
          <w:b/>
          <w:bCs/>
          <w:color w:val="333333"/>
          <w:sz w:val="21"/>
          <w:szCs w:val="21"/>
          <w:lang w:eastAsia="ru-RU"/>
        </w:rPr>
        <w:t> голів</w:t>
      </w:r>
      <w:r w:rsidRPr="005F259C">
        <w:rPr>
          <w:rFonts w:ascii="Arial" w:eastAsia="Times New Roman" w:hAnsi="Arial" w:cs="Arial"/>
          <w:color w:val="333333"/>
          <w:sz w:val="21"/>
          <w:szCs w:val="21"/>
          <w:lang w:eastAsia="ru-RU"/>
        </w:rPr>
        <w:t> також будуть застосовуватися дві різні виборчі системи, залежно від величини адміністративно-територіальних одиниць:</w:t>
      </w:r>
    </w:p>
    <w:p w:rsidR="005F259C" w:rsidRPr="005F259C" w:rsidRDefault="005F259C" w:rsidP="005F259C">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xml:space="preserve">для виборів сільських, селищних, міських голів, а також </w:t>
      </w:r>
      <w:proofErr w:type="gramStart"/>
      <w:r w:rsidRPr="005F259C">
        <w:rPr>
          <w:rFonts w:ascii="Arial" w:eastAsia="Times New Roman" w:hAnsi="Arial" w:cs="Arial"/>
          <w:color w:val="333333"/>
          <w:sz w:val="21"/>
          <w:szCs w:val="21"/>
          <w:lang w:eastAsia="ru-RU"/>
        </w:rPr>
        <w:t>старост:   </w:t>
      </w:r>
      <w:proofErr w:type="gramEnd"/>
      <w:r w:rsidRPr="005F259C">
        <w:rPr>
          <w:rFonts w:ascii="Arial" w:eastAsia="Times New Roman" w:hAnsi="Arial" w:cs="Arial"/>
          <w:b/>
          <w:bCs/>
          <w:color w:val="333333"/>
          <w:sz w:val="21"/>
          <w:szCs w:val="21"/>
          <w:lang w:eastAsia="ru-RU"/>
        </w:rPr>
        <w:t>мажоритарна система</w:t>
      </w:r>
      <w:r w:rsidRPr="005F259C">
        <w:rPr>
          <w:rFonts w:ascii="Arial" w:eastAsia="Times New Roman" w:hAnsi="Arial" w:cs="Arial"/>
          <w:color w:val="333333"/>
          <w:sz w:val="21"/>
          <w:szCs w:val="21"/>
          <w:lang w:eastAsia="ru-RU"/>
        </w:rPr>
        <w:t> </w:t>
      </w:r>
      <w:r w:rsidRPr="005F259C">
        <w:rPr>
          <w:rFonts w:ascii="Arial" w:eastAsia="Times New Roman" w:hAnsi="Arial" w:cs="Arial"/>
          <w:b/>
          <w:bCs/>
          <w:color w:val="333333"/>
          <w:sz w:val="21"/>
          <w:szCs w:val="21"/>
          <w:lang w:eastAsia="ru-RU"/>
        </w:rPr>
        <w:t>відносної більшості</w:t>
      </w:r>
      <w:r w:rsidRPr="005F259C">
        <w:rPr>
          <w:rFonts w:ascii="Arial" w:eastAsia="Times New Roman" w:hAnsi="Arial" w:cs="Arial"/>
          <w:color w:val="333333"/>
          <w:sz w:val="21"/>
          <w:szCs w:val="21"/>
          <w:lang w:eastAsia="ru-RU"/>
        </w:rPr>
        <w:t> з голосуванням в єдиному одномандатному окрузі;</w:t>
      </w:r>
    </w:p>
    <w:p w:rsidR="005F259C" w:rsidRPr="005F259C" w:rsidRDefault="005F259C" w:rsidP="005F259C">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для виборів міських голів у містах з кількістю виборців 90 тисяч і більше осіб </w:t>
      </w:r>
      <w:r w:rsidRPr="005F259C">
        <w:rPr>
          <w:rFonts w:ascii="Arial" w:eastAsia="Times New Roman" w:hAnsi="Arial" w:cs="Arial"/>
          <w:b/>
          <w:bCs/>
          <w:color w:val="333333"/>
          <w:sz w:val="21"/>
          <w:szCs w:val="21"/>
          <w:lang w:eastAsia="ru-RU"/>
        </w:rPr>
        <w:t>мажоритарна система абсолютної більшості</w:t>
      </w:r>
      <w:r w:rsidRPr="005F259C">
        <w:rPr>
          <w:rFonts w:ascii="Arial" w:eastAsia="Times New Roman" w:hAnsi="Arial" w:cs="Arial"/>
          <w:color w:val="333333"/>
          <w:sz w:val="21"/>
          <w:szCs w:val="21"/>
          <w:lang w:eastAsia="ru-RU"/>
        </w:rPr>
        <w:t>.</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Обидві системи є добре знайомими виборцям і використовувалися на останніх чергових місцевих виборах в Україні.</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after="150" w:line="240" w:lineRule="auto"/>
        <w:jc w:val="center"/>
        <w:rPr>
          <w:rFonts w:ascii="Arial" w:eastAsia="Times New Roman" w:hAnsi="Arial" w:cs="Arial"/>
          <w:color w:val="333333"/>
          <w:sz w:val="21"/>
          <w:szCs w:val="21"/>
          <w:lang w:eastAsia="ru-RU"/>
        </w:rPr>
      </w:pPr>
      <w:r w:rsidRPr="005F259C">
        <w:rPr>
          <w:rFonts w:ascii="Arial" w:eastAsia="Times New Roman" w:hAnsi="Arial" w:cs="Arial"/>
          <w:noProof/>
          <w:color w:val="333333"/>
          <w:sz w:val="21"/>
          <w:szCs w:val="21"/>
          <w:lang w:eastAsia="ru-RU"/>
        </w:rPr>
        <w:lastRenderedPageBreak/>
        <w:drawing>
          <wp:inline distT="0" distB="0" distL="0" distR="0" wp14:anchorId="0C4506A8" wp14:editId="661BACF8">
            <wp:extent cx="11430000" cy="6534150"/>
            <wp:effectExtent l="0" t="0" r="0" b="0"/>
            <wp:docPr id="1" name="Рисунок 1" descr="https://decentralization.gov.ua/uploads/ckeditor/pictures/4845/conten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centralization.gov.ua/uploads/ckeditor/pictures/4845/content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0" cy="6534150"/>
                    </a:xfrm>
                    <a:prstGeom prst="rect">
                      <a:avLst/>
                    </a:prstGeom>
                    <a:noFill/>
                    <a:ln>
                      <a:noFill/>
                    </a:ln>
                  </pic:spPr>
                </pic:pic>
              </a:graphicData>
            </a:graphic>
          </wp:inline>
        </w:drawing>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5F259C">
        <w:rPr>
          <w:rFonts w:ascii="Arial" w:eastAsia="Times New Roman" w:hAnsi="Arial" w:cs="Arial"/>
          <w:b/>
          <w:bCs/>
          <w:color w:val="333333"/>
          <w:sz w:val="27"/>
          <w:szCs w:val="27"/>
          <w:lang w:eastAsia="ru-RU"/>
        </w:rPr>
        <w:t>Кількісний склад депутатів місцевих рад</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after="150" w:line="240" w:lineRule="auto"/>
        <w:jc w:val="center"/>
        <w:rPr>
          <w:rFonts w:ascii="Arial" w:eastAsia="Times New Roman" w:hAnsi="Arial" w:cs="Arial"/>
          <w:color w:val="333333"/>
          <w:sz w:val="21"/>
          <w:szCs w:val="21"/>
          <w:lang w:eastAsia="ru-RU"/>
        </w:rPr>
      </w:pPr>
      <w:r w:rsidRPr="005F259C">
        <w:rPr>
          <w:rFonts w:ascii="Arial" w:eastAsia="Times New Roman" w:hAnsi="Arial" w:cs="Arial"/>
          <w:noProof/>
          <w:color w:val="333333"/>
          <w:sz w:val="21"/>
          <w:szCs w:val="21"/>
          <w:lang w:eastAsia="ru-RU"/>
        </w:rPr>
        <w:lastRenderedPageBreak/>
        <w:drawing>
          <wp:inline distT="0" distB="0" distL="0" distR="0" wp14:anchorId="4F1D1014" wp14:editId="2DD44A82">
            <wp:extent cx="11430000" cy="5248275"/>
            <wp:effectExtent l="0" t="0" r="0" b="9525"/>
            <wp:docPr id="2" name="Рисунок 2" descr="https://decentralization.gov.ua/uploads/ckeditor/pictures/4846/conten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centralization.gov.ua/uploads/ckeditor/pictures/4846/content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5248275"/>
                    </a:xfrm>
                    <a:prstGeom prst="rect">
                      <a:avLst/>
                    </a:prstGeom>
                    <a:noFill/>
                    <a:ln>
                      <a:noFill/>
                    </a:ln>
                  </pic:spPr>
                </pic:pic>
              </a:graphicData>
            </a:graphic>
          </wp:inline>
        </w:drawing>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5F259C">
        <w:rPr>
          <w:rFonts w:ascii="Arial" w:eastAsia="Times New Roman" w:hAnsi="Arial" w:cs="Arial"/>
          <w:b/>
          <w:bCs/>
          <w:color w:val="333333"/>
          <w:sz w:val="27"/>
          <w:szCs w:val="27"/>
          <w:lang w:eastAsia="ru-RU"/>
        </w:rPr>
        <w:t>Види місцевих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Місцеві вибори можуть бути черговими, позачерговими, повторними, проміжними, додатковими або першими.</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Чергові місцеві вибори</w:t>
      </w:r>
      <w:r w:rsidRPr="005F259C">
        <w:rPr>
          <w:rFonts w:ascii="Arial" w:eastAsia="Times New Roman" w:hAnsi="Arial" w:cs="Arial"/>
          <w:color w:val="333333"/>
          <w:sz w:val="21"/>
          <w:szCs w:val="21"/>
          <w:lang w:eastAsia="ru-RU"/>
        </w:rPr>
        <w:t> призначаються не пізніше ніж за дев’яносто днів до дня виборів, </w:t>
      </w:r>
      <w:r w:rsidRPr="005F259C">
        <w:rPr>
          <w:rFonts w:ascii="Arial" w:eastAsia="Times New Roman" w:hAnsi="Arial" w:cs="Arial"/>
          <w:b/>
          <w:bCs/>
          <w:color w:val="333333"/>
          <w:sz w:val="21"/>
          <w:szCs w:val="21"/>
          <w:lang w:eastAsia="ru-RU"/>
        </w:rPr>
        <w:t>позачергові</w:t>
      </w:r>
      <w:r w:rsidRPr="005F259C">
        <w:rPr>
          <w:rFonts w:ascii="Arial" w:eastAsia="Times New Roman" w:hAnsi="Arial" w:cs="Arial"/>
          <w:color w:val="333333"/>
          <w:sz w:val="21"/>
          <w:szCs w:val="21"/>
          <w:lang w:eastAsia="ru-RU"/>
        </w:rPr>
        <w:t> місцеві вибори - не пізніше ніж за шістдесят днів до дня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Виборчий процес розпочинається за п’ятдесят днів до дня чергових, позачергових місцевих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Повторні місцеві </w:t>
      </w:r>
      <w:r w:rsidRPr="005F259C">
        <w:rPr>
          <w:rFonts w:ascii="Arial" w:eastAsia="Times New Roman" w:hAnsi="Arial" w:cs="Arial"/>
          <w:color w:val="333333"/>
          <w:sz w:val="21"/>
          <w:szCs w:val="21"/>
          <w:lang w:eastAsia="ru-RU"/>
        </w:rPr>
        <w:t>вибори призначаються на останню неділю шістдесятиденного строку з дня прийняття рішення про їх призначення, а виборчий процес розпочинається за п’ятдесят днів до дня повторних місцевих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Проміжні вибори</w:t>
      </w:r>
      <w:r w:rsidRPr="005F259C">
        <w:rPr>
          <w:rFonts w:ascii="Arial" w:eastAsia="Times New Roman" w:hAnsi="Arial" w:cs="Arial"/>
          <w:color w:val="333333"/>
          <w:sz w:val="21"/>
          <w:szCs w:val="21"/>
          <w:lang w:eastAsia="ru-RU"/>
        </w:rPr>
        <w:t> депутатів (депутата) сільської, селищної, міської, районної у місті (міста з кількістю виборців до 90 тисяч осіб), районної ради в багатомандатному окрузі призначаються на останню неділю шістдесятиденного строку з дня прийняття рішення про їх призначення, а виборчий процес розпочинається за п’ятдесят днів до дня проміжних місцевих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Додаткові вибори</w:t>
      </w:r>
      <w:r w:rsidRPr="005F259C">
        <w:rPr>
          <w:rFonts w:ascii="Arial" w:eastAsia="Times New Roman" w:hAnsi="Arial" w:cs="Arial"/>
          <w:color w:val="333333"/>
          <w:sz w:val="21"/>
          <w:szCs w:val="21"/>
          <w:lang w:eastAsia="ru-RU"/>
        </w:rPr>
        <w:t> призначаються не пізніше ніж за сімдесят днів до дня виборів, а виборчий процес розпочинається за п’ятдесят днів до дня додаткових виборів.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5F259C">
        <w:rPr>
          <w:rFonts w:ascii="Arial" w:eastAsia="Times New Roman" w:hAnsi="Arial" w:cs="Arial"/>
          <w:b/>
          <w:bCs/>
          <w:color w:val="333333"/>
          <w:sz w:val="27"/>
          <w:szCs w:val="27"/>
          <w:lang w:eastAsia="ru-RU"/>
        </w:rPr>
        <w:lastRenderedPageBreak/>
        <w:t>Висування кандидатів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xml:space="preserve">Висування кандидатів у депутати місцевих </w:t>
      </w:r>
      <w:proofErr w:type="gramStart"/>
      <w:r w:rsidRPr="005F259C">
        <w:rPr>
          <w:rFonts w:ascii="Arial" w:eastAsia="Times New Roman" w:hAnsi="Arial" w:cs="Arial"/>
          <w:color w:val="333333"/>
          <w:sz w:val="21"/>
          <w:szCs w:val="21"/>
          <w:lang w:eastAsia="ru-RU"/>
        </w:rPr>
        <w:t>рад  (</w:t>
      </w:r>
      <w:proofErr w:type="gramEnd"/>
      <w:r w:rsidRPr="005F259C">
        <w:rPr>
          <w:rFonts w:ascii="Arial" w:eastAsia="Times New Roman" w:hAnsi="Arial" w:cs="Arial"/>
          <w:color w:val="333333"/>
          <w:sz w:val="21"/>
          <w:szCs w:val="21"/>
          <w:lang w:eastAsia="ru-RU"/>
        </w:rPr>
        <w:t>більше 90 тис. виборців), формування та затвердження виборчих списків здійснюються партією на її зборах (конференції). Особа може бути висунута кандидатом на відповідних місцевих виборах лише в одному виборчому окрузі й лише від однієї місцевої організації партії. Організація партії може висунути особу, яка є членом цієї політичної партії, або безпартійного громадянина.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Кожна місцева організація партії формує </w:t>
      </w:r>
      <w:r w:rsidRPr="005F259C">
        <w:rPr>
          <w:rFonts w:ascii="Arial" w:eastAsia="Times New Roman" w:hAnsi="Arial" w:cs="Arial"/>
          <w:b/>
          <w:bCs/>
          <w:color w:val="333333"/>
          <w:sz w:val="21"/>
          <w:szCs w:val="21"/>
          <w:lang w:eastAsia="ru-RU"/>
        </w:rPr>
        <w:t>два типи списків</w:t>
      </w:r>
      <w:r w:rsidRPr="005F259C">
        <w:rPr>
          <w:rFonts w:ascii="Arial" w:eastAsia="Times New Roman" w:hAnsi="Arial" w:cs="Arial"/>
          <w:color w:val="333333"/>
          <w:sz w:val="21"/>
          <w:szCs w:val="21"/>
          <w:lang w:eastAsia="ru-RU"/>
        </w:rPr>
        <w:t>:</w:t>
      </w:r>
    </w:p>
    <w:p w:rsidR="005F259C" w:rsidRPr="005F259C" w:rsidRDefault="005F259C" w:rsidP="005F259C">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єдиний виборчий список (обласний, міський чи республіканський в АРК), який не повинен перевищувати кількісний склад депутатів відповідної ради;</w:t>
      </w:r>
    </w:p>
    <w:p w:rsidR="005F259C" w:rsidRPr="005F259C" w:rsidRDefault="005F259C" w:rsidP="005F259C">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регіональні виборчі списки у кожному багатомандатному виборчому окрузі (повинен включати не менше п’яти і не більше дванадцяти кандидатів у депутати).</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Кожен кандидат, включений до єдиного списку партії, обов’язково має бути віднесений до одного з регіональних виборчих списків. При цьому кандидат не може бути включений до єдиного виборчого списку партії більше ніж один раз, а також – одночасно до двох чи більше різних регіональних виборчих списків.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Черговість усіх кандидатів в єдиному виборчому списку і в регіональних списках визначається місцевою організацією партії на своїх зборах. При формуванні списків партії зобов’язані дотримуватися гендерного балансу – у кожній п’ятірці кандидатів не менше двох осіб кожної статі.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Грошова застава</w:t>
      </w:r>
      <w:r w:rsidRPr="005F259C">
        <w:rPr>
          <w:rFonts w:ascii="Arial" w:eastAsia="Times New Roman" w:hAnsi="Arial" w:cs="Arial"/>
          <w:color w:val="333333"/>
          <w:sz w:val="21"/>
          <w:szCs w:val="21"/>
          <w:lang w:eastAsia="ru-RU"/>
        </w:rPr>
        <w:t xml:space="preserve"> застосовується виключно на місцевих виборах до обласних рад, а також міських рад та міських голів у </w:t>
      </w:r>
      <w:proofErr w:type="gramStart"/>
      <w:r w:rsidRPr="005F259C">
        <w:rPr>
          <w:rFonts w:ascii="Arial" w:eastAsia="Times New Roman" w:hAnsi="Arial" w:cs="Arial"/>
          <w:color w:val="333333"/>
          <w:sz w:val="21"/>
          <w:szCs w:val="21"/>
          <w:lang w:eastAsia="ru-RU"/>
        </w:rPr>
        <w:t>містах  з</w:t>
      </w:r>
      <w:proofErr w:type="gramEnd"/>
      <w:r w:rsidRPr="005F259C">
        <w:rPr>
          <w:rFonts w:ascii="Arial" w:eastAsia="Times New Roman" w:hAnsi="Arial" w:cs="Arial"/>
          <w:color w:val="333333"/>
          <w:sz w:val="21"/>
          <w:szCs w:val="21"/>
          <w:lang w:eastAsia="ru-RU"/>
        </w:rPr>
        <w:t xml:space="preserve"> кількістю виборців більше 90 тис. Для місцевих організацій партій, які висунули виборчий список кандидатів у депутати обласної чи міської ради та кандидата </w:t>
      </w:r>
      <w:proofErr w:type="gramStart"/>
      <w:r w:rsidRPr="005F259C">
        <w:rPr>
          <w:rFonts w:ascii="Arial" w:eastAsia="Times New Roman" w:hAnsi="Arial" w:cs="Arial"/>
          <w:color w:val="333333"/>
          <w:sz w:val="21"/>
          <w:szCs w:val="21"/>
          <w:lang w:eastAsia="ru-RU"/>
        </w:rPr>
        <w:t>на посаду</w:t>
      </w:r>
      <w:proofErr w:type="gramEnd"/>
      <w:r w:rsidRPr="005F259C">
        <w:rPr>
          <w:rFonts w:ascii="Arial" w:eastAsia="Times New Roman" w:hAnsi="Arial" w:cs="Arial"/>
          <w:color w:val="333333"/>
          <w:sz w:val="21"/>
          <w:szCs w:val="21"/>
          <w:lang w:eastAsia="ru-RU"/>
        </w:rPr>
        <w:t xml:space="preserve"> міського голови, а також для особи, яка висувається кандидатом на посаду міського голови (з кількістю виборців більше 90 тис.), грошова застава розраховується як результат множення чотирьох розмірів мінімальної заробітної плати, встановленої на день початку виборчого процесу, на кожні 10 тисяч виборців.</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before="150" w:after="150" w:line="240" w:lineRule="auto"/>
        <w:jc w:val="both"/>
        <w:outlineLvl w:val="3"/>
        <w:rPr>
          <w:rFonts w:ascii="Arial" w:eastAsia="Times New Roman" w:hAnsi="Arial" w:cs="Arial"/>
          <w:color w:val="333333"/>
          <w:sz w:val="27"/>
          <w:szCs w:val="27"/>
          <w:lang w:eastAsia="ru-RU"/>
        </w:rPr>
      </w:pPr>
      <w:r w:rsidRPr="005F259C">
        <w:rPr>
          <w:rFonts w:ascii="Arial" w:eastAsia="Times New Roman" w:hAnsi="Arial" w:cs="Arial"/>
          <w:b/>
          <w:bCs/>
          <w:color w:val="333333"/>
          <w:sz w:val="27"/>
          <w:szCs w:val="27"/>
          <w:lang w:eastAsia="ru-RU"/>
        </w:rPr>
        <w:t>Вартість грошової застави на місцевих виборах 2020 року, яку сплачуватимуть партії за своїх кандидатів та самовисуванці</w:t>
      </w:r>
    </w:p>
    <w:p w:rsidR="005F259C" w:rsidRPr="005F259C" w:rsidRDefault="005F259C" w:rsidP="005F259C">
      <w:pPr>
        <w:shd w:val="clear" w:color="auto" w:fill="FFFFFF"/>
        <w:spacing w:after="150" w:line="240" w:lineRule="auto"/>
        <w:jc w:val="center"/>
        <w:rPr>
          <w:rFonts w:ascii="Arial" w:eastAsia="Times New Roman" w:hAnsi="Arial" w:cs="Arial"/>
          <w:color w:val="333333"/>
          <w:sz w:val="21"/>
          <w:szCs w:val="21"/>
          <w:lang w:eastAsia="ru-RU"/>
        </w:rPr>
      </w:pPr>
      <w:r w:rsidRPr="005F259C">
        <w:rPr>
          <w:rFonts w:ascii="Arial" w:eastAsia="Times New Roman" w:hAnsi="Arial" w:cs="Arial"/>
          <w:noProof/>
          <w:color w:val="333333"/>
          <w:sz w:val="21"/>
          <w:szCs w:val="21"/>
          <w:lang w:eastAsia="ru-RU"/>
        </w:rPr>
        <w:lastRenderedPageBreak/>
        <w:drawing>
          <wp:inline distT="0" distB="0" distL="0" distR="0" wp14:anchorId="28FEC02F" wp14:editId="6EE1F06A">
            <wp:extent cx="6629400" cy="3657600"/>
            <wp:effectExtent l="0" t="0" r="0" b="0"/>
            <wp:docPr id="3" name="Рисунок 3" descr="https://decentralization.gov.ua/uploads/ckeditor/pictures/4848/conten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centralization.gov.ua/uploads/ckeditor/pictures/4848/content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0" cy="3657600"/>
                    </a:xfrm>
                    <a:prstGeom prst="rect">
                      <a:avLst/>
                    </a:prstGeom>
                    <a:noFill/>
                    <a:ln>
                      <a:noFill/>
                    </a:ln>
                  </pic:spPr>
                </pic:pic>
              </a:graphicData>
            </a:graphic>
          </wp:inline>
        </w:drawing>
      </w:r>
    </w:p>
    <w:p w:rsidR="005F259C" w:rsidRPr="005F259C" w:rsidRDefault="005F259C" w:rsidP="005F259C">
      <w:pPr>
        <w:shd w:val="clear" w:color="auto" w:fill="FFFFFF"/>
        <w:spacing w:after="150" w:line="240" w:lineRule="auto"/>
        <w:jc w:val="center"/>
        <w:rPr>
          <w:rFonts w:ascii="Arial" w:eastAsia="Times New Roman" w:hAnsi="Arial" w:cs="Arial"/>
          <w:color w:val="333333"/>
          <w:sz w:val="21"/>
          <w:szCs w:val="21"/>
          <w:lang w:eastAsia="ru-RU"/>
        </w:rPr>
      </w:pPr>
      <w:r w:rsidRPr="005F259C">
        <w:rPr>
          <w:rFonts w:ascii="Arial" w:eastAsia="Times New Roman" w:hAnsi="Arial" w:cs="Arial"/>
          <w:noProof/>
          <w:color w:val="333333"/>
          <w:sz w:val="21"/>
          <w:szCs w:val="21"/>
          <w:lang w:eastAsia="ru-RU"/>
        </w:rPr>
        <w:drawing>
          <wp:inline distT="0" distB="0" distL="0" distR="0" wp14:anchorId="501F9AA6" wp14:editId="1F3243C7">
            <wp:extent cx="6610350" cy="3762375"/>
            <wp:effectExtent l="0" t="0" r="0" b="9525"/>
            <wp:docPr id="4" name="Рисунок 4" descr="https://decentralization.gov.ua/uploads/ckeditor/pictures/4849/content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centralization.gov.ua/uploads/ckeditor/pictures/4849/content_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3762375"/>
                    </a:xfrm>
                    <a:prstGeom prst="rect">
                      <a:avLst/>
                    </a:prstGeom>
                    <a:noFill/>
                    <a:ln>
                      <a:noFill/>
                    </a:ln>
                  </pic:spPr>
                </pic:pic>
              </a:graphicData>
            </a:graphic>
          </wp:inline>
        </w:drawing>
      </w:r>
    </w:p>
    <w:p w:rsidR="005F259C" w:rsidRPr="005F259C" w:rsidRDefault="005F259C" w:rsidP="005F259C">
      <w:pPr>
        <w:shd w:val="clear" w:color="auto" w:fill="FFFFFF"/>
        <w:spacing w:after="150" w:line="240" w:lineRule="auto"/>
        <w:jc w:val="center"/>
        <w:rPr>
          <w:rFonts w:ascii="Arial" w:eastAsia="Times New Roman" w:hAnsi="Arial" w:cs="Arial"/>
          <w:color w:val="333333"/>
          <w:sz w:val="21"/>
          <w:szCs w:val="21"/>
          <w:lang w:eastAsia="ru-RU"/>
        </w:rPr>
      </w:pPr>
      <w:r w:rsidRPr="005F259C">
        <w:rPr>
          <w:rFonts w:ascii="Arial" w:eastAsia="Times New Roman" w:hAnsi="Arial" w:cs="Arial"/>
          <w:noProof/>
          <w:color w:val="333333"/>
          <w:sz w:val="21"/>
          <w:szCs w:val="21"/>
          <w:lang w:eastAsia="ru-RU"/>
        </w:rPr>
        <w:lastRenderedPageBreak/>
        <w:drawing>
          <wp:inline distT="0" distB="0" distL="0" distR="0" wp14:anchorId="677CA865" wp14:editId="2B5C4BAD">
            <wp:extent cx="6572250" cy="3800475"/>
            <wp:effectExtent l="0" t="0" r="0" b="9525"/>
            <wp:docPr id="5" name="Рисунок 5" descr="https://decentralization.gov.ua/uploads/ckeditor/pictures/4850/conten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ecentralization.gov.ua/uploads/ckeditor/pictures/4850/content_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0" cy="3800475"/>
                    </a:xfrm>
                    <a:prstGeom prst="rect">
                      <a:avLst/>
                    </a:prstGeom>
                    <a:noFill/>
                    <a:ln>
                      <a:noFill/>
                    </a:ln>
                  </pic:spPr>
                </pic:pic>
              </a:graphicData>
            </a:graphic>
          </wp:inline>
        </w:drawing>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Територіальна організація</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Область чи місто являє собою єдиний виборчий округ, територія якого поділяється на багатомандатні виборчі округи. Орієнтовна кількість багатомандатних округів визначається як ціла частка від ділення кількісного складу відповідної ради на 10. Разом з тим, Кодекс допускає відхилення від середньої орієнтовної кількості багатомандатних округів – не більше ніж на два округи. Орієнтовна кількість депутатських мандатів у регіональних округах - від 5 до 12 мандатів.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При утворенні багатомандатних виборчих округів з виборів депутатів обласної ради територія району, міста обласного значення не може бути поділена між двома такими округами. Однак на території міста обласного значення може бути утворено більше ніж один багатомандатний округ. Так само при утворенні багатомандатних виборчих округів з виборів депутатів міської ради міста з районним поділом територія району в місті не може бути поділена між двома такими округами. Однак </w:t>
      </w:r>
      <w:proofErr w:type="gramStart"/>
      <w:r w:rsidRPr="005F259C">
        <w:rPr>
          <w:rFonts w:ascii="Arial" w:eastAsia="Times New Roman" w:hAnsi="Arial" w:cs="Arial"/>
          <w:color w:val="333333"/>
          <w:sz w:val="21"/>
          <w:szCs w:val="21"/>
          <w:lang w:eastAsia="ru-RU"/>
        </w:rPr>
        <w:t>у межах</w:t>
      </w:r>
      <w:proofErr w:type="gramEnd"/>
      <w:r w:rsidRPr="005F259C">
        <w:rPr>
          <w:rFonts w:ascii="Arial" w:eastAsia="Times New Roman" w:hAnsi="Arial" w:cs="Arial"/>
          <w:color w:val="333333"/>
          <w:sz w:val="21"/>
          <w:szCs w:val="21"/>
          <w:lang w:eastAsia="ru-RU"/>
        </w:rPr>
        <w:t xml:space="preserve"> району в місті може бути утворено більше ніж один багатомандатний округ. Таким чином багатомандатні округи можуть об’єднувати в собі кілька цілих адміністративно-територіальних одиниць (районів, міст обласного значення, районів міста), але не їх окремі частини. Іншим важливим критерієм при утворенні багатомандатних виборчих округів є дотримання принципу неперервності їх меж (зв’язності територій).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b/>
          <w:bCs/>
          <w:color w:val="333333"/>
          <w:sz w:val="21"/>
          <w:szCs w:val="21"/>
          <w:lang w:eastAsia="ru-RU"/>
        </w:rPr>
        <w:t>Форма виборчого бюлетеня</w:t>
      </w:r>
    </w:p>
    <w:p w:rsidR="005F259C" w:rsidRPr="005F259C" w:rsidRDefault="005F259C" w:rsidP="005F259C">
      <w:pPr>
        <w:shd w:val="clear" w:color="auto" w:fill="FFFFFF"/>
        <w:spacing w:after="150" w:line="240" w:lineRule="auto"/>
        <w:jc w:val="both"/>
        <w:rPr>
          <w:rFonts w:ascii="Arial" w:eastAsia="Times New Roman" w:hAnsi="Arial" w:cs="Arial"/>
          <w:color w:val="333333"/>
          <w:sz w:val="21"/>
          <w:szCs w:val="21"/>
          <w:lang w:eastAsia="ru-RU"/>
        </w:rPr>
      </w:pPr>
      <w:r w:rsidRPr="005F259C">
        <w:rPr>
          <w:rFonts w:ascii="Arial" w:eastAsia="Times New Roman" w:hAnsi="Arial" w:cs="Arial"/>
          <w:color w:val="333333"/>
          <w:sz w:val="21"/>
          <w:szCs w:val="21"/>
          <w:lang w:eastAsia="ru-RU"/>
        </w:rPr>
        <w:t xml:space="preserve">Особливість форми бюлетеня пропорційної системи виборів включає в себе перелік і номери усіх партій, які беруть участь у виборах (розміщуються </w:t>
      </w:r>
      <w:proofErr w:type="gramStart"/>
      <w:r w:rsidRPr="005F259C">
        <w:rPr>
          <w:rFonts w:ascii="Arial" w:eastAsia="Times New Roman" w:hAnsi="Arial" w:cs="Arial"/>
          <w:color w:val="333333"/>
          <w:sz w:val="21"/>
          <w:szCs w:val="21"/>
          <w:lang w:eastAsia="ru-RU"/>
        </w:rPr>
        <w:t>у порядку</w:t>
      </w:r>
      <w:proofErr w:type="gramEnd"/>
      <w:r w:rsidRPr="005F259C">
        <w:rPr>
          <w:rFonts w:ascii="Arial" w:eastAsia="Times New Roman" w:hAnsi="Arial" w:cs="Arial"/>
          <w:color w:val="333333"/>
          <w:sz w:val="21"/>
          <w:szCs w:val="21"/>
          <w:lang w:eastAsia="ru-RU"/>
        </w:rPr>
        <w:t xml:space="preserve">, визначеному жеребкуванням) і порожній квадрат праворуч навпроти назви кожної партії. Під назвою кожної партії має розміщуватися перелік прізвищ та номерів кандидатів з регіонального виборчого списку цієї партії (він може нараховувати від п’яти до дванадцяти осіб). У нижній частині бюлетеня великими літерами зазначається текст "Від організації партії, </w:t>
      </w:r>
      <w:proofErr w:type="gramStart"/>
      <w:r w:rsidRPr="005F259C">
        <w:rPr>
          <w:rFonts w:ascii="Arial" w:eastAsia="Times New Roman" w:hAnsi="Arial" w:cs="Arial"/>
          <w:color w:val="333333"/>
          <w:sz w:val="21"/>
          <w:szCs w:val="21"/>
          <w:lang w:eastAsia="ru-RU"/>
        </w:rPr>
        <w:t>за яку</w:t>
      </w:r>
      <w:proofErr w:type="gramEnd"/>
      <w:r w:rsidRPr="005F259C">
        <w:rPr>
          <w:rFonts w:ascii="Arial" w:eastAsia="Times New Roman" w:hAnsi="Arial" w:cs="Arial"/>
          <w:color w:val="333333"/>
          <w:sz w:val="21"/>
          <w:szCs w:val="21"/>
          <w:lang w:eastAsia="ru-RU"/>
        </w:rPr>
        <w:t xml:space="preserve"> я проголосував (проголосувала), підтримую кандидата у депутати" праворуч від якого розміщується прямокутник, в якому зазначається знак "№" з вільним полем для написання номера кандидата в депутати з регіонального списку.</w:t>
      </w:r>
    </w:p>
    <w:p w:rsidR="002F5A26" w:rsidRDefault="002F5A26">
      <w:bookmarkStart w:id="0" w:name="_GoBack"/>
      <w:bookmarkEnd w:id="0"/>
    </w:p>
    <w:sectPr w:rsidR="002F5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2F5A26"/>
    <w:rsid w:val="00383C4F"/>
    <w:rsid w:val="005F259C"/>
    <w:rsid w:val="00AB0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A30"/>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3C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83C4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83C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3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zakon.rada.gov.ua/laws/show/396-20"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1094</Words>
  <Characters>6236</Characters>
  <Application>Microsoft Office Word</Application>
  <DocSecurity>0</DocSecurity>
  <Lines>51</Lines>
  <Paragraphs>14</Paragraphs>
  <ScaleCrop>false</ScaleCrop>
  <Company>SPecialiST RePack</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2020-01-31T11:22:00Z</dcterms:created>
  <dcterms:modified xsi:type="dcterms:W3CDTF">2020-01-31T11:33:00Z</dcterms:modified>
</cp:coreProperties>
</file>