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E91" w:rsidRDefault="00EA7E91" w:rsidP="00EA7E91">
      <w:pPr>
        <w:pStyle w:val="2"/>
        <w:shd w:val="clear" w:color="auto" w:fill="FFFFFF"/>
        <w:spacing w:before="300" w:beforeAutospacing="0" w:after="600" w:afterAutospacing="0"/>
        <w:rPr>
          <w:rFonts w:ascii="Arial" w:hAnsi="Arial" w:cs="Arial"/>
          <w:b w:val="0"/>
          <w:bCs w:val="0"/>
          <w:color w:val="333333"/>
          <w:sz w:val="45"/>
          <w:szCs w:val="45"/>
        </w:rPr>
      </w:pPr>
      <w:r>
        <w:rPr>
          <w:rFonts w:ascii="Arial" w:hAnsi="Arial" w:cs="Arial"/>
          <w:b w:val="0"/>
          <w:bCs w:val="0"/>
          <w:color w:val="333333"/>
          <w:sz w:val="45"/>
          <w:szCs w:val="45"/>
        </w:rPr>
        <w:t>З'явився текст оновленої методики формування спроможних громад</w:t>
      </w:r>
    </w:p>
    <w:p w:rsidR="00EA7E91" w:rsidRDefault="00EA7E91" w:rsidP="00EA7E91">
      <w:pPr>
        <w:pStyle w:val="a3"/>
        <w:shd w:val="clear" w:color="auto" w:fill="FFFFFF"/>
        <w:spacing w:before="0" w:beforeAutospacing="0" w:after="150" w:afterAutospacing="0"/>
        <w:jc w:val="both"/>
        <w:rPr>
          <w:rFonts w:ascii="Arial" w:hAnsi="Arial" w:cs="Arial"/>
          <w:color w:val="333333"/>
        </w:rPr>
      </w:pPr>
      <w:r>
        <w:rPr>
          <w:rFonts w:ascii="Arial" w:hAnsi="Arial" w:cs="Arial"/>
          <w:color w:val="333333"/>
        </w:rPr>
        <w:t>На Урядовому порталі з'явився текст постанови «Про внесення змін до Методики формування спроможних територіальних громад» від 24.01.2020 року (</w:t>
      </w:r>
      <w:hyperlink r:id="rId5" w:tgtFrame="_blank" w:history="1">
        <w:r>
          <w:rPr>
            <w:rStyle w:val="a5"/>
            <w:rFonts w:ascii="Arial" w:hAnsi="Arial" w:cs="Arial"/>
            <w:b/>
            <w:bCs/>
            <w:color w:val="337AB7"/>
            <w:u w:val="none"/>
          </w:rPr>
          <w:t>ПЕРЕГЛЯНУТИ</w:t>
        </w:r>
      </w:hyperlink>
      <w:r>
        <w:rPr>
          <w:rFonts w:ascii="Arial" w:hAnsi="Arial" w:cs="Arial"/>
          <w:color w:val="333333"/>
        </w:rPr>
        <w:t>).</w:t>
      </w:r>
    </w:p>
    <w:p w:rsidR="00EA7E91" w:rsidRDefault="00EA7E91" w:rsidP="00EA7E91">
      <w:pPr>
        <w:pStyle w:val="a3"/>
        <w:shd w:val="clear" w:color="auto" w:fill="FFFFFF"/>
        <w:spacing w:before="0" w:beforeAutospacing="0" w:after="150" w:afterAutospacing="0"/>
        <w:jc w:val="both"/>
        <w:rPr>
          <w:rFonts w:ascii="Arial" w:hAnsi="Arial" w:cs="Arial"/>
          <w:color w:val="333333"/>
        </w:rPr>
      </w:pPr>
      <w:r>
        <w:rPr>
          <w:rFonts w:ascii="Arial" w:hAnsi="Arial" w:cs="Arial"/>
          <w:color w:val="333333"/>
        </w:rPr>
        <w:t>У новій редакції Методики акцент зроблений на порядку розроблення перспективних планів та формуванні спроможних громад.</w:t>
      </w:r>
    </w:p>
    <w:p w:rsidR="00EA7E91" w:rsidRDefault="00EA7E91" w:rsidP="00EA7E91">
      <w:pPr>
        <w:pStyle w:val="a3"/>
        <w:shd w:val="clear" w:color="auto" w:fill="FFFFFF"/>
        <w:spacing w:before="0" w:beforeAutospacing="0" w:after="150" w:afterAutospacing="0"/>
        <w:jc w:val="both"/>
        <w:rPr>
          <w:rFonts w:ascii="Arial" w:hAnsi="Arial" w:cs="Arial"/>
          <w:color w:val="333333"/>
        </w:rPr>
      </w:pPr>
      <w:r>
        <w:rPr>
          <w:rFonts w:ascii="Arial" w:hAnsi="Arial" w:cs="Arial"/>
          <w:color w:val="333333"/>
        </w:rPr>
        <w:t>"Зміни до Методики формування спроможних територіальних громад дають можливість більш комплексно оцінити рівень спроможності діючих і проектних ОТГ. Разом з тим, ці зміни не впливають на їхню конфігурацію в перспективних планах. Перспективні плани мають змінитися в першу чергу там, де орієнтувалися не на спроможність, а на емоції чи політичні амбіції", - </w:t>
      </w:r>
      <w:hyperlink r:id="rId6" w:tgtFrame="_blank" w:history="1">
        <w:r>
          <w:rPr>
            <w:rStyle w:val="a5"/>
            <w:rFonts w:ascii="Arial" w:hAnsi="Arial" w:cs="Arial"/>
            <w:color w:val="337AB7"/>
            <w:u w:val="none"/>
          </w:rPr>
          <w:t>зазначав раніше</w:t>
        </w:r>
      </w:hyperlink>
      <w:r>
        <w:rPr>
          <w:rFonts w:ascii="Arial" w:hAnsi="Arial" w:cs="Arial"/>
          <w:color w:val="333333"/>
        </w:rPr>
        <w:t> заступник Міністра розвитку громад та територій </w:t>
      </w:r>
      <w:r>
        <w:rPr>
          <w:rStyle w:val="a4"/>
          <w:rFonts w:ascii="Arial" w:hAnsi="Arial" w:cs="Arial"/>
          <w:color w:val="333333"/>
        </w:rPr>
        <w:t>Вячеслав Негода.</w:t>
      </w:r>
    </w:p>
    <w:p w:rsidR="00EA7E91" w:rsidRDefault="00EA7E91" w:rsidP="00EA7E91">
      <w:pPr>
        <w:pStyle w:val="a3"/>
        <w:shd w:val="clear" w:color="auto" w:fill="FFFFFF"/>
        <w:spacing w:before="0" w:beforeAutospacing="0" w:after="150" w:afterAutospacing="0"/>
        <w:jc w:val="both"/>
        <w:rPr>
          <w:rFonts w:ascii="Arial" w:hAnsi="Arial" w:cs="Arial"/>
          <w:color w:val="333333"/>
        </w:rPr>
      </w:pPr>
      <w:r>
        <w:rPr>
          <w:rFonts w:ascii="Arial" w:hAnsi="Arial" w:cs="Arial"/>
          <w:color w:val="333333"/>
        </w:rPr>
        <w:t>В оновленій Методиці встановлені </w:t>
      </w:r>
      <w:r>
        <w:rPr>
          <w:rFonts w:ascii="Arial" w:hAnsi="Arial" w:cs="Arial"/>
          <w:b/>
          <w:bCs/>
          <w:color w:val="333333"/>
        </w:rPr>
        <w:t>критерії</w:t>
      </w:r>
      <w:r>
        <w:rPr>
          <w:rFonts w:ascii="Arial" w:hAnsi="Arial" w:cs="Arial"/>
          <w:color w:val="333333"/>
        </w:rPr>
        <w:t>, які дають можливість оцінити рівень</w:t>
      </w:r>
      <w:r>
        <w:rPr>
          <w:rFonts w:ascii="Arial" w:hAnsi="Arial" w:cs="Arial"/>
          <w:b/>
          <w:bCs/>
          <w:color w:val="333333"/>
        </w:rPr>
        <w:t> спроможності</w:t>
      </w:r>
      <w:r>
        <w:rPr>
          <w:rFonts w:ascii="Arial" w:hAnsi="Arial" w:cs="Arial"/>
          <w:color w:val="333333"/>
        </w:rPr>
        <w:t> громади:</w:t>
      </w:r>
    </w:p>
    <w:p w:rsidR="00EA7E91" w:rsidRDefault="00EA7E91" w:rsidP="00EA7E91">
      <w:pPr>
        <w:numPr>
          <w:ilvl w:val="0"/>
          <w:numId w:val="5"/>
        </w:numPr>
        <w:shd w:val="clear" w:color="auto" w:fill="FFFFFF"/>
        <w:spacing w:before="100" w:beforeAutospacing="1" w:after="100" w:afterAutospacing="1" w:line="240" w:lineRule="auto"/>
        <w:jc w:val="both"/>
        <w:rPr>
          <w:rFonts w:ascii="Arial" w:hAnsi="Arial" w:cs="Arial"/>
          <w:color w:val="333333"/>
        </w:rPr>
      </w:pPr>
      <w:r>
        <w:rPr>
          <w:rFonts w:ascii="Arial" w:hAnsi="Arial" w:cs="Arial"/>
          <w:color w:val="333333"/>
        </w:rPr>
        <w:t> </w:t>
      </w:r>
      <w:r>
        <w:rPr>
          <w:rFonts w:ascii="Arial" w:hAnsi="Arial" w:cs="Arial"/>
          <w:b/>
          <w:bCs/>
          <w:color w:val="333333"/>
        </w:rPr>
        <w:t>чисельність населення</w:t>
      </w:r>
      <w:r>
        <w:rPr>
          <w:rFonts w:ascii="Arial" w:hAnsi="Arial" w:cs="Arial"/>
          <w:color w:val="333333"/>
        </w:rPr>
        <w:t>, що постійно проживає на території спроможної територіальної громади (до 3 тисяч осіб - 0,3; від 3 до 7 тисяч - 0,6; 7 тисяч осіб і більше - 1);</w:t>
      </w:r>
    </w:p>
    <w:p w:rsidR="00EA7E91" w:rsidRDefault="00EA7E91" w:rsidP="00EA7E91">
      <w:pPr>
        <w:numPr>
          <w:ilvl w:val="0"/>
          <w:numId w:val="5"/>
        </w:numPr>
        <w:shd w:val="clear" w:color="auto" w:fill="FFFFFF"/>
        <w:spacing w:before="100" w:beforeAutospacing="1" w:after="100" w:afterAutospacing="1" w:line="240" w:lineRule="auto"/>
        <w:jc w:val="both"/>
        <w:rPr>
          <w:rFonts w:ascii="Arial" w:hAnsi="Arial" w:cs="Arial"/>
          <w:color w:val="333333"/>
        </w:rPr>
      </w:pPr>
      <w:r>
        <w:rPr>
          <w:rFonts w:ascii="Arial" w:hAnsi="Arial" w:cs="Arial"/>
          <w:b/>
          <w:bCs/>
          <w:color w:val="333333"/>
        </w:rPr>
        <w:t>чисельність дітей</w:t>
      </w:r>
      <w:r>
        <w:rPr>
          <w:rFonts w:ascii="Arial" w:hAnsi="Arial" w:cs="Arial"/>
          <w:color w:val="333333"/>
        </w:rPr>
        <w:t> шкільного віку, які навчаються в загальноосвітніх навчальних закладах, розташованих на території спроможної територіальної громади (до 300 - 0,3; від 300 до 500 - 0,6; 500 і більше – 1);</w:t>
      </w:r>
    </w:p>
    <w:p w:rsidR="00EA7E91" w:rsidRDefault="00EA7E91" w:rsidP="00EA7E91">
      <w:pPr>
        <w:numPr>
          <w:ilvl w:val="0"/>
          <w:numId w:val="5"/>
        </w:numPr>
        <w:shd w:val="clear" w:color="auto" w:fill="FFFFFF"/>
        <w:spacing w:before="100" w:beforeAutospacing="1" w:after="100" w:afterAutospacing="1" w:line="240" w:lineRule="auto"/>
        <w:jc w:val="both"/>
        <w:rPr>
          <w:rFonts w:ascii="Arial" w:hAnsi="Arial" w:cs="Arial"/>
          <w:color w:val="333333"/>
        </w:rPr>
      </w:pPr>
      <w:r>
        <w:rPr>
          <w:rFonts w:ascii="Arial" w:hAnsi="Arial" w:cs="Arial"/>
          <w:b/>
          <w:bCs/>
          <w:color w:val="333333"/>
        </w:rPr>
        <w:t>площа території</w:t>
      </w:r>
      <w:r>
        <w:rPr>
          <w:rFonts w:ascii="Arial" w:hAnsi="Arial" w:cs="Arial"/>
          <w:color w:val="333333"/>
        </w:rPr>
        <w:t> спроможної територіальної громади (до 200 кв. км - 0,3; від 200 до 400 кв. км - 0,6; понад 400 кв. км – 1);</w:t>
      </w:r>
    </w:p>
    <w:p w:rsidR="00EA7E91" w:rsidRDefault="00EA7E91" w:rsidP="00EA7E91">
      <w:pPr>
        <w:numPr>
          <w:ilvl w:val="0"/>
          <w:numId w:val="5"/>
        </w:numPr>
        <w:shd w:val="clear" w:color="auto" w:fill="FFFFFF"/>
        <w:spacing w:before="100" w:beforeAutospacing="1" w:after="100" w:afterAutospacing="1" w:line="240" w:lineRule="auto"/>
        <w:jc w:val="both"/>
        <w:rPr>
          <w:rFonts w:ascii="Arial" w:hAnsi="Arial" w:cs="Arial"/>
          <w:color w:val="333333"/>
        </w:rPr>
      </w:pPr>
      <w:r>
        <w:rPr>
          <w:rFonts w:ascii="Arial" w:hAnsi="Arial" w:cs="Arial"/>
          <w:b/>
          <w:bCs/>
          <w:color w:val="333333"/>
        </w:rPr>
        <w:t>індекс податкоспроможності</w:t>
      </w:r>
      <w:r>
        <w:rPr>
          <w:rFonts w:ascii="Arial" w:hAnsi="Arial" w:cs="Arial"/>
          <w:color w:val="333333"/>
        </w:rPr>
        <w:t> бюджету спроможної територіальної громади (до 0,3 - 0,3; від 0,3 до 0,9 - 0,6 більше 0,9 - 1);</w:t>
      </w:r>
    </w:p>
    <w:p w:rsidR="00EA7E91" w:rsidRDefault="00EA7E91" w:rsidP="00EA7E91">
      <w:pPr>
        <w:numPr>
          <w:ilvl w:val="0"/>
          <w:numId w:val="5"/>
        </w:numPr>
        <w:shd w:val="clear" w:color="auto" w:fill="FFFFFF"/>
        <w:spacing w:before="100" w:beforeAutospacing="1" w:after="100" w:afterAutospacing="1" w:line="240" w:lineRule="auto"/>
        <w:jc w:val="both"/>
        <w:rPr>
          <w:rFonts w:ascii="Arial" w:hAnsi="Arial" w:cs="Arial"/>
          <w:color w:val="333333"/>
        </w:rPr>
      </w:pPr>
      <w:r>
        <w:rPr>
          <w:rFonts w:ascii="Arial" w:hAnsi="Arial" w:cs="Arial"/>
          <w:b/>
          <w:bCs/>
          <w:color w:val="333333"/>
        </w:rPr>
        <w:t>частка місцевих податків та зборів</w:t>
      </w:r>
      <w:r>
        <w:rPr>
          <w:rFonts w:ascii="Arial" w:hAnsi="Arial" w:cs="Arial"/>
          <w:color w:val="333333"/>
        </w:rPr>
        <w:t> у доходах бюджету спроможної територіальної громади (до 20% - 0,3; від 20 до 40% - 0,6; понад 40% - 1).</w:t>
      </w:r>
    </w:p>
    <w:p w:rsidR="00EA7E91" w:rsidRDefault="00EA7E91" w:rsidP="00EA7E91">
      <w:pPr>
        <w:pStyle w:val="a3"/>
        <w:shd w:val="clear" w:color="auto" w:fill="FFFFFF"/>
        <w:spacing w:before="0" w:beforeAutospacing="0" w:after="150" w:afterAutospacing="0"/>
        <w:jc w:val="both"/>
        <w:rPr>
          <w:rFonts w:ascii="Arial" w:hAnsi="Arial" w:cs="Arial"/>
          <w:color w:val="333333"/>
        </w:rPr>
      </w:pPr>
      <w:r>
        <w:rPr>
          <w:rFonts w:ascii="Arial" w:hAnsi="Arial" w:cs="Arial"/>
          <w:b/>
          <w:bCs/>
          <w:color w:val="333333"/>
        </w:rPr>
        <w:t>Рівень спроможності</w:t>
      </w:r>
      <w:r>
        <w:rPr>
          <w:rFonts w:ascii="Arial" w:hAnsi="Arial" w:cs="Arial"/>
          <w:color w:val="333333"/>
        </w:rPr>
        <w:t> визначається за сумою вказаних вище критеріїв.</w:t>
      </w:r>
    </w:p>
    <w:p w:rsidR="00EA7E91" w:rsidRDefault="00EA7E91" w:rsidP="00EA7E91">
      <w:pPr>
        <w:numPr>
          <w:ilvl w:val="0"/>
          <w:numId w:val="6"/>
        </w:numPr>
        <w:shd w:val="clear" w:color="auto" w:fill="FFFFFF"/>
        <w:spacing w:before="100" w:beforeAutospacing="1" w:after="100" w:afterAutospacing="1" w:line="240" w:lineRule="auto"/>
        <w:jc w:val="both"/>
        <w:rPr>
          <w:rFonts w:ascii="Arial" w:hAnsi="Arial" w:cs="Arial"/>
          <w:color w:val="333333"/>
        </w:rPr>
      </w:pPr>
      <w:r>
        <w:rPr>
          <w:rFonts w:ascii="Arial" w:hAnsi="Arial" w:cs="Arial"/>
          <w:color w:val="333333"/>
        </w:rPr>
        <w:t>Низький рівень спроможності - від 1,5 до 2,1.</w:t>
      </w:r>
    </w:p>
    <w:p w:rsidR="00EA7E91" w:rsidRDefault="00EA7E91" w:rsidP="00EA7E91">
      <w:pPr>
        <w:numPr>
          <w:ilvl w:val="0"/>
          <w:numId w:val="6"/>
        </w:numPr>
        <w:shd w:val="clear" w:color="auto" w:fill="FFFFFF"/>
        <w:spacing w:before="100" w:beforeAutospacing="1" w:after="100" w:afterAutospacing="1" w:line="240" w:lineRule="auto"/>
        <w:jc w:val="both"/>
        <w:rPr>
          <w:rFonts w:ascii="Arial" w:hAnsi="Arial" w:cs="Arial"/>
          <w:color w:val="333333"/>
        </w:rPr>
      </w:pPr>
      <w:r>
        <w:rPr>
          <w:rFonts w:ascii="Arial" w:hAnsi="Arial" w:cs="Arial"/>
          <w:color w:val="333333"/>
        </w:rPr>
        <w:t>Середній рівень спроможності - від 2,2 до 3,8.</w:t>
      </w:r>
    </w:p>
    <w:p w:rsidR="00EA7E91" w:rsidRDefault="00EA7E91" w:rsidP="00EA7E91">
      <w:pPr>
        <w:numPr>
          <w:ilvl w:val="0"/>
          <w:numId w:val="6"/>
        </w:numPr>
        <w:shd w:val="clear" w:color="auto" w:fill="FFFFFF"/>
        <w:spacing w:before="100" w:beforeAutospacing="1" w:after="100" w:afterAutospacing="1" w:line="240" w:lineRule="auto"/>
        <w:jc w:val="both"/>
        <w:rPr>
          <w:rFonts w:ascii="Arial" w:hAnsi="Arial" w:cs="Arial"/>
          <w:color w:val="333333"/>
        </w:rPr>
      </w:pPr>
      <w:r>
        <w:rPr>
          <w:rFonts w:ascii="Arial" w:hAnsi="Arial" w:cs="Arial"/>
          <w:color w:val="333333"/>
        </w:rPr>
        <w:t>Високий рівень спроможності - від 3,9.</w:t>
      </w:r>
    </w:p>
    <w:p w:rsidR="00EA7E91" w:rsidRDefault="00EA7E91" w:rsidP="00EA7E91">
      <w:pPr>
        <w:pStyle w:val="a3"/>
        <w:shd w:val="clear" w:color="auto" w:fill="FFFFFF"/>
        <w:spacing w:before="0" w:beforeAutospacing="0" w:after="150" w:afterAutospacing="0"/>
        <w:jc w:val="both"/>
        <w:rPr>
          <w:rFonts w:ascii="Arial" w:hAnsi="Arial" w:cs="Arial"/>
          <w:color w:val="333333"/>
        </w:rPr>
      </w:pPr>
      <w:r>
        <w:rPr>
          <w:rFonts w:ascii="Arial" w:hAnsi="Arial" w:cs="Arial"/>
          <w:color w:val="333333"/>
        </w:rPr>
        <w:t>Рівень спроможності громад буде враховуватися при розробленні чи внесенні змін до перспективних планів. При цьому, кількість громад з низьким рівнем спроможності не може перевищувати 10 % від загальної кількості спроможних громад області.</w:t>
      </w:r>
    </w:p>
    <w:p w:rsidR="00EA7E91" w:rsidRDefault="00EA7E91" w:rsidP="00EA7E91">
      <w:pPr>
        <w:pStyle w:val="a3"/>
        <w:shd w:val="clear" w:color="auto" w:fill="FFFFFF"/>
        <w:spacing w:before="0" w:beforeAutospacing="0" w:after="150" w:afterAutospacing="0"/>
        <w:jc w:val="both"/>
        <w:rPr>
          <w:rFonts w:ascii="Arial" w:hAnsi="Arial" w:cs="Arial"/>
          <w:color w:val="333333"/>
        </w:rPr>
      </w:pPr>
      <w:r>
        <w:rPr>
          <w:rFonts w:ascii="Arial" w:hAnsi="Arial" w:cs="Arial"/>
          <w:color w:val="333333"/>
        </w:rPr>
        <w:t>Також відтепер при формуванні спроможних територіальних громад мають братися до уваги ще й </w:t>
      </w:r>
      <w:hyperlink r:id="rId7" w:tgtFrame="_blank" w:history="1">
        <w:r>
          <w:rPr>
            <w:rStyle w:val="a5"/>
            <w:rFonts w:ascii="Arial" w:hAnsi="Arial" w:cs="Arial"/>
            <w:color w:val="337AB7"/>
            <w:u w:val="none"/>
          </w:rPr>
          <w:t>оптимальні мережі соціальної інфраструктури</w:t>
        </w:r>
      </w:hyperlink>
      <w:r>
        <w:rPr>
          <w:rFonts w:ascii="Arial" w:hAnsi="Arial" w:cs="Arial"/>
          <w:color w:val="333333"/>
        </w:rPr>
        <w:t> та доступність публічних послуг.</w:t>
      </w:r>
    </w:p>
    <w:p w:rsidR="00EA7E91" w:rsidRDefault="00EA7E91" w:rsidP="00EA7E91">
      <w:pPr>
        <w:pStyle w:val="a3"/>
        <w:shd w:val="clear" w:color="auto" w:fill="FFFFFF"/>
        <w:spacing w:before="0" w:beforeAutospacing="0" w:after="150" w:afterAutospacing="0"/>
        <w:jc w:val="both"/>
        <w:rPr>
          <w:rFonts w:ascii="Arial" w:hAnsi="Arial" w:cs="Arial"/>
          <w:color w:val="333333"/>
        </w:rPr>
      </w:pPr>
      <w:r>
        <w:rPr>
          <w:rFonts w:ascii="Arial" w:hAnsi="Arial" w:cs="Arial"/>
          <w:color w:val="333333"/>
        </w:rPr>
        <w:t>У постанові Уряду також йдеться, що облдержадміністрації у двотижневий термін повинні внести на розгляд Кабінету Міністрів пропозиції щодо приведення перспективних планів формування територій громад у відповідність до цієї постанови.</w:t>
      </w:r>
    </w:p>
    <w:p w:rsidR="00EA7E91" w:rsidRDefault="00EA7E91" w:rsidP="00EA7E91">
      <w:pPr>
        <w:pStyle w:val="a3"/>
        <w:shd w:val="clear" w:color="auto" w:fill="FFFFFF"/>
        <w:spacing w:before="0" w:beforeAutospacing="0" w:after="150" w:afterAutospacing="0"/>
        <w:jc w:val="both"/>
        <w:rPr>
          <w:rFonts w:ascii="Arial" w:hAnsi="Arial" w:cs="Arial"/>
          <w:color w:val="333333"/>
        </w:rPr>
      </w:pPr>
      <w:r>
        <w:rPr>
          <w:rFonts w:ascii="Arial" w:hAnsi="Arial" w:cs="Arial"/>
          <w:color w:val="333333"/>
        </w:rPr>
        <w:lastRenderedPageBreak/>
        <w:t>Як відомо, 20 грудня 2019 року набув чинності Закон України «Про внесення змін до Закону України «Про добровільне об’єднання територіальних громад» (щодо спрощення процедури затвердження перспективних планів формування територій громад Автономної Республіки Крим, областей)» </w:t>
      </w:r>
      <w:hyperlink r:id="rId8" w:tgtFrame="_blank" w:history="1">
        <w:r>
          <w:rPr>
            <w:rStyle w:val="a5"/>
            <w:rFonts w:ascii="Arial" w:hAnsi="Arial" w:cs="Arial"/>
            <w:color w:val="337AB7"/>
            <w:u w:val="none"/>
          </w:rPr>
          <w:t>№2189 від 30.09.2019</w:t>
        </w:r>
      </w:hyperlink>
      <w:r>
        <w:rPr>
          <w:rFonts w:ascii="Arial" w:hAnsi="Arial" w:cs="Arial"/>
          <w:color w:val="333333"/>
          <w:u w:val="single"/>
        </w:rPr>
        <w:t>.</w:t>
      </w:r>
      <w:r>
        <w:rPr>
          <w:rFonts w:ascii="Arial" w:hAnsi="Arial" w:cs="Arial"/>
          <w:color w:val="333333"/>
        </w:rPr>
        <w:t> Закон передбачає зокрема, що об'єднання громад надалі відбуватиметься виключно за перспективним планом і без обов'язкової участі обласних рад. Ці зміни також враховані у оновленій Методиці. </w:t>
      </w:r>
    </w:p>
    <w:p w:rsidR="006E3BF2" w:rsidRDefault="006E3BF2">
      <w:bookmarkStart w:id="0" w:name="_GoBack"/>
      <w:bookmarkEnd w:id="0"/>
    </w:p>
    <w:sectPr w:rsidR="006E3B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931"/>
    <w:multiLevelType w:val="multilevel"/>
    <w:tmpl w:val="64F8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479DF"/>
    <w:multiLevelType w:val="multilevel"/>
    <w:tmpl w:val="8B2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511A"/>
    <w:multiLevelType w:val="multilevel"/>
    <w:tmpl w:val="221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7016A"/>
    <w:multiLevelType w:val="multilevel"/>
    <w:tmpl w:val="D38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E3A33"/>
    <w:multiLevelType w:val="multilevel"/>
    <w:tmpl w:val="0C1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51EBC"/>
    <w:multiLevelType w:val="multilevel"/>
    <w:tmpl w:val="9CF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DE"/>
    <w:rsid w:val="0004069B"/>
    <w:rsid w:val="000E5BCC"/>
    <w:rsid w:val="00296205"/>
    <w:rsid w:val="002F5A26"/>
    <w:rsid w:val="00383C4F"/>
    <w:rsid w:val="0048475C"/>
    <w:rsid w:val="004D0746"/>
    <w:rsid w:val="005F259C"/>
    <w:rsid w:val="006E3BF2"/>
    <w:rsid w:val="007670A7"/>
    <w:rsid w:val="00AB04DE"/>
    <w:rsid w:val="00EA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727BB-92EE-4C85-9CE3-DF3294F2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83C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383C4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C4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83C4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83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3C4F"/>
    <w:rPr>
      <w:b/>
      <w:bCs/>
    </w:rPr>
  </w:style>
  <w:style w:type="character" w:styleId="a5">
    <w:name w:val="Hyperlink"/>
    <w:basedOn w:val="a0"/>
    <w:uiPriority w:val="99"/>
    <w:semiHidden/>
    <w:unhideWhenUsed/>
    <w:rsid w:val="004D0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1588">
      <w:bodyDiv w:val="1"/>
      <w:marLeft w:val="0"/>
      <w:marRight w:val="0"/>
      <w:marTop w:val="0"/>
      <w:marBottom w:val="0"/>
      <w:divBdr>
        <w:top w:val="none" w:sz="0" w:space="0" w:color="auto"/>
        <w:left w:val="none" w:sz="0" w:space="0" w:color="auto"/>
        <w:bottom w:val="none" w:sz="0" w:space="0" w:color="auto"/>
        <w:right w:val="none" w:sz="0" w:space="0" w:color="auto"/>
      </w:divBdr>
      <w:divsChild>
        <w:div w:id="1079255367">
          <w:marLeft w:val="0"/>
          <w:marRight w:val="0"/>
          <w:marTop w:val="0"/>
          <w:marBottom w:val="0"/>
          <w:divBdr>
            <w:top w:val="none" w:sz="0" w:space="0" w:color="auto"/>
            <w:left w:val="none" w:sz="0" w:space="0" w:color="auto"/>
            <w:bottom w:val="none" w:sz="0" w:space="0" w:color="auto"/>
            <w:right w:val="none" w:sz="0" w:space="0" w:color="auto"/>
          </w:divBdr>
        </w:div>
        <w:div w:id="443381815">
          <w:marLeft w:val="0"/>
          <w:marRight w:val="0"/>
          <w:marTop w:val="0"/>
          <w:marBottom w:val="0"/>
          <w:divBdr>
            <w:top w:val="none" w:sz="0" w:space="0" w:color="auto"/>
            <w:left w:val="none" w:sz="0" w:space="0" w:color="auto"/>
            <w:bottom w:val="none" w:sz="0" w:space="0" w:color="auto"/>
            <w:right w:val="none" w:sz="0" w:space="0" w:color="auto"/>
          </w:divBdr>
        </w:div>
      </w:divsChild>
    </w:div>
    <w:div w:id="1418405713">
      <w:bodyDiv w:val="1"/>
      <w:marLeft w:val="0"/>
      <w:marRight w:val="0"/>
      <w:marTop w:val="0"/>
      <w:marBottom w:val="0"/>
      <w:divBdr>
        <w:top w:val="none" w:sz="0" w:space="0" w:color="auto"/>
        <w:left w:val="none" w:sz="0" w:space="0" w:color="auto"/>
        <w:bottom w:val="none" w:sz="0" w:space="0" w:color="auto"/>
        <w:right w:val="none" w:sz="0" w:space="0" w:color="auto"/>
      </w:divBdr>
      <w:divsChild>
        <w:div w:id="1505323087">
          <w:marLeft w:val="0"/>
          <w:marRight w:val="0"/>
          <w:marTop w:val="0"/>
          <w:marBottom w:val="0"/>
          <w:divBdr>
            <w:top w:val="none" w:sz="0" w:space="0" w:color="auto"/>
            <w:left w:val="none" w:sz="0" w:space="0" w:color="auto"/>
            <w:bottom w:val="none" w:sz="0" w:space="0" w:color="auto"/>
            <w:right w:val="none" w:sz="0" w:space="0" w:color="auto"/>
          </w:divBdr>
        </w:div>
        <w:div w:id="1310282476">
          <w:marLeft w:val="0"/>
          <w:marRight w:val="0"/>
          <w:marTop w:val="0"/>
          <w:marBottom w:val="0"/>
          <w:divBdr>
            <w:top w:val="none" w:sz="0" w:space="0" w:color="auto"/>
            <w:left w:val="none" w:sz="0" w:space="0" w:color="auto"/>
            <w:bottom w:val="none" w:sz="0" w:space="0" w:color="auto"/>
            <w:right w:val="none" w:sz="0" w:space="0" w:color="auto"/>
          </w:divBdr>
        </w:div>
      </w:divsChild>
    </w:div>
    <w:div w:id="1495297226">
      <w:bodyDiv w:val="1"/>
      <w:marLeft w:val="0"/>
      <w:marRight w:val="0"/>
      <w:marTop w:val="0"/>
      <w:marBottom w:val="0"/>
      <w:divBdr>
        <w:top w:val="none" w:sz="0" w:space="0" w:color="auto"/>
        <w:left w:val="none" w:sz="0" w:space="0" w:color="auto"/>
        <w:bottom w:val="none" w:sz="0" w:space="0" w:color="auto"/>
        <w:right w:val="none" w:sz="0" w:space="0" w:color="auto"/>
      </w:divBdr>
    </w:div>
    <w:div w:id="1832136937">
      <w:bodyDiv w:val="1"/>
      <w:marLeft w:val="0"/>
      <w:marRight w:val="0"/>
      <w:marTop w:val="0"/>
      <w:marBottom w:val="0"/>
      <w:divBdr>
        <w:top w:val="none" w:sz="0" w:space="0" w:color="auto"/>
        <w:left w:val="none" w:sz="0" w:space="0" w:color="auto"/>
        <w:bottom w:val="none" w:sz="0" w:space="0" w:color="auto"/>
        <w:right w:val="none" w:sz="0" w:space="0" w:color="auto"/>
      </w:divBdr>
    </w:div>
    <w:div w:id="1878665631">
      <w:bodyDiv w:val="1"/>
      <w:marLeft w:val="0"/>
      <w:marRight w:val="0"/>
      <w:marTop w:val="0"/>
      <w:marBottom w:val="0"/>
      <w:divBdr>
        <w:top w:val="none" w:sz="0" w:space="0" w:color="auto"/>
        <w:left w:val="none" w:sz="0" w:space="0" w:color="auto"/>
        <w:bottom w:val="none" w:sz="0" w:space="0" w:color="auto"/>
        <w:right w:val="none" w:sz="0" w:space="0" w:color="auto"/>
      </w:divBdr>
      <w:divsChild>
        <w:div w:id="1415853994">
          <w:marLeft w:val="0"/>
          <w:marRight w:val="0"/>
          <w:marTop w:val="0"/>
          <w:marBottom w:val="0"/>
          <w:divBdr>
            <w:top w:val="none" w:sz="0" w:space="0" w:color="auto"/>
            <w:left w:val="none" w:sz="0" w:space="0" w:color="auto"/>
            <w:bottom w:val="none" w:sz="0" w:space="0" w:color="auto"/>
            <w:right w:val="none" w:sz="0" w:space="0" w:color="auto"/>
          </w:divBdr>
        </w:div>
        <w:div w:id="2076276654">
          <w:marLeft w:val="0"/>
          <w:marRight w:val="0"/>
          <w:marTop w:val="0"/>
          <w:marBottom w:val="0"/>
          <w:divBdr>
            <w:top w:val="none" w:sz="0" w:space="0" w:color="auto"/>
            <w:left w:val="none" w:sz="0" w:space="0" w:color="auto"/>
            <w:bottom w:val="none" w:sz="0" w:space="0" w:color="auto"/>
            <w:right w:val="none" w:sz="0" w:space="0" w:color="auto"/>
          </w:divBdr>
        </w:div>
      </w:divsChild>
    </w:div>
    <w:div w:id="2084796633">
      <w:bodyDiv w:val="1"/>
      <w:marLeft w:val="0"/>
      <w:marRight w:val="0"/>
      <w:marTop w:val="0"/>
      <w:marBottom w:val="0"/>
      <w:divBdr>
        <w:top w:val="none" w:sz="0" w:space="0" w:color="auto"/>
        <w:left w:val="none" w:sz="0" w:space="0" w:color="auto"/>
        <w:bottom w:val="none" w:sz="0" w:space="0" w:color="auto"/>
        <w:right w:val="none" w:sz="0" w:space="0" w:color="auto"/>
      </w:divBdr>
      <w:divsChild>
        <w:div w:id="2037193645">
          <w:marLeft w:val="0"/>
          <w:marRight w:val="0"/>
          <w:marTop w:val="0"/>
          <w:marBottom w:val="0"/>
          <w:divBdr>
            <w:top w:val="none" w:sz="0" w:space="0" w:color="auto"/>
            <w:left w:val="none" w:sz="0" w:space="0" w:color="auto"/>
            <w:bottom w:val="none" w:sz="0" w:space="0" w:color="auto"/>
            <w:right w:val="none" w:sz="0" w:space="0" w:color="auto"/>
          </w:divBdr>
        </w:div>
        <w:div w:id="1129009414">
          <w:marLeft w:val="0"/>
          <w:marRight w:val="0"/>
          <w:marTop w:val="0"/>
          <w:marBottom w:val="0"/>
          <w:divBdr>
            <w:top w:val="none" w:sz="0" w:space="0" w:color="auto"/>
            <w:left w:val="none" w:sz="0" w:space="0" w:color="auto"/>
            <w:bottom w:val="none" w:sz="0" w:space="0" w:color="auto"/>
            <w:right w:val="none" w:sz="0" w:space="0" w:color="auto"/>
          </w:divBdr>
        </w:div>
      </w:divsChild>
    </w:div>
    <w:div w:id="2097439411">
      <w:bodyDiv w:val="1"/>
      <w:marLeft w:val="0"/>
      <w:marRight w:val="0"/>
      <w:marTop w:val="0"/>
      <w:marBottom w:val="0"/>
      <w:divBdr>
        <w:top w:val="none" w:sz="0" w:space="0" w:color="auto"/>
        <w:left w:val="none" w:sz="0" w:space="0" w:color="auto"/>
        <w:bottom w:val="none" w:sz="0" w:space="0" w:color="auto"/>
        <w:right w:val="none" w:sz="0" w:space="0" w:color="auto"/>
      </w:divBdr>
      <w:divsChild>
        <w:div w:id="200675234">
          <w:marLeft w:val="0"/>
          <w:marRight w:val="0"/>
          <w:marTop w:val="0"/>
          <w:marBottom w:val="0"/>
          <w:divBdr>
            <w:top w:val="none" w:sz="0" w:space="0" w:color="auto"/>
            <w:left w:val="none" w:sz="0" w:space="0" w:color="auto"/>
            <w:bottom w:val="none" w:sz="0" w:space="0" w:color="auto"/>
            <w:right w:val="none" w:sz="0" w:space="0" w:color="auto"/>
          </w:divBdr>
        </w:div>
        <w:div w:id="192657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1.c1.rada.gov.ua/pls/zweb2/webproc4_1?pf3511=66965" TargetMode="External"/><Relationship Id="rId3" Type="http://schemas.openxmlformats.org/officeDocument/2006/relationships/settings" Target="settings.xml"/><Relationship Id="rId7" Type="http://schemas.openxmlformats.org/officeDocument/2006/relationships/hyperlink" Target="https://decentralization.gov.ua/news/117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centralization.gov.ua/news/12095" TargetMode="External"/><Relationship Id="rId5" Type="http://schemas.openxmlformats.org/officeDocument/2006/relationships/hyperlink" Target="https://www.kmu.gov.ua/npas/pro-vnesennya-zmin-do-metodiki-formuvannya-spromozhnih-teritorialnih-gromad-i240120-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498</Words>
  <Characters>2840</Characters>
  <Application>Microsoft Office Word</Application>
  <DocSecurity>0</DocSecurity>
  <Lines>23</Lines>
  <Paragraphs>6</Paragraphs>
  <ScaleCrop>false</ScaleCrop>
  <Company>SPecialiST RePack</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11</cp:revision>
  <dcterms:created xsi:type="dcterms:W3CDTF">2020-01-31T11:22:00Z</dcterms:created>
  <dcterms:modified xsi:type="dcterms:W3CDTF">2020-01-31T11:53:00Z</dcterms:modified>
</cp:coreProperties>
</file>