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07BC" w:rsidRDefault="009307BC" w:rsidP="000738BF">
      <w:pPr>
        <w:ind w:left="708" w:firstLine="708"/>
        <w:rPr>
          <w:b/>
          <w:color w:val="333333"/>
          <w:sz w:val="22"/>
          <w:szCs w:val="22"/>
          <w:lang w:val="uk-UA" w:eastAsia="ru-RU"/>
        </w:rPr>
      </w:pPr>
    </w:p>
    <w:p w:rsidR="0045796F" w:rsidRPr="000105ED" w:rsidRDefault="0045796F" w:rsidP="0045796F">
      <w:pPr>
        <w:pStyle w:val="normalweb"/>
        <w:shd w:val="clear" w:color="auto" w:fill="FFFFFF"/>
        <w:tabs>
          <w:tab w:val="left" w:pos="3416"/>
        </w:tabs>
        <w:spacing w:before="0" w:beforeAutospacing="0" w:after="0" w:afterAutospacing="0"/>
        <w:ind w:firstLine="567"/>
        <w:jc w:val="center"/>
        <w:rPr>
          <w:b/>
          <w:color w:val="333333"/>
          <w:sz w:val="22"/>
          <w:szCs w:val="22"/>
          <w:lang w:val="uk-UA"/>
        </w:rPr>
      </w:pPr>
      <w:r w:rsidRPr="000105ED">
        <w:rPr>
          <w:b/>
          <w:color w:val="333333"/>
          <w:lang w:val="uk-UA"/>
        </w:rPr>
        <w:t>Плата за землю – це обов’язковий платіж</w:t>
      </w:r>
    </w:p>
    <w:p w:rsidR="0045796F" w:rsidRPr="00F3726D" w:rsidRDefault="0045796F" w:rsidP="0045796F">
      <w:pPr>
        <w:pStyle w:val="normalweb"/>
        <w:shd w:val="clear" w:color="auto" w:fill="FFFFFF"/>
        <w:tabs>
          <w:tab w:val="left" w:pos="3416"/>
        </w:tabs>
        <w:spacing w:before="0" w:beforeAutospacing="0" w:after="0" w:afterAutospacing="0"/>
        <w:ind w:firstLine="567"/>
        <w:jc w:val="both"/>
        <w:rPr>
          <w:color w:val="333333"/>
          <w:sz w:val="22"/>
          <w:szCs w:val="22"/>
          <w:lang w:val="uk-UA"/>
        </w:rPr>
      </w:pPr>
      <w:proofErr w:type="spellStart"/>
      <w:r w:rsidRPr="00F3726D">
        <w:rPr>
          <w:color w:val="333333"/>
          <w:sz w:val="22"/>
          <w:szCs w:val="22"/>
          <w:lang w:val="uk-UA"/>
        </w:rPr>
        <w:t>Старобільський</w:t>
      </w:r>
      <w:proofErr w:type="spellEnd"/>
      <w:r w:rsidRPr="00F3726D">
        <w:rPr>
          <w:color w:val="333333"/>
          <w:sz w:val="22"/>
          <w:szCs w:val="22"/>
          <w:lang w:val="uk-UA"/>
        </w:rPr>
        <w:t xml:space="preserve"> відділ податків і зборів з фізичних осіб управління податкового адміністрування Головного управління ДПС у Луганській області </w:t>
      </w:r>
      <w:r>
        <w:rPr>
          <w:color w:val="333333"/>
          <w:sz w:val="22"/>
          <w:szCs w:val="22"/>
          <w:lang w:val="uk-UA"/>
        </w:rPr>
        <w:t>повідомляє, що в</w:t>
      </w:r>
      <w:r w:rsidRPr="00F3726D">
        <w:rPr>
          <w:color w:val="333333"/>
          <w:sz w:val="22"/>
          <w:szCs w:val="22"/>
          <w:lang w:val="uk-UA"/>
        </w:rPr>
        <w:t xml:space="preserve">ідповідно до  </w:t>
      </w:r>
      <w:proofErr w:type="spellStart"/>
      <w:r w:rsidRPr="00F3726D">
        <w:rPr>
          <w:color w:val="333333"/>
          <w:sz w:val="22"/>
          <w:szCs w:val="22"/>
          <w:lang w:val="uk-UA"/>
        </w:rPr>
        <w:t>п.п</w:t>
      </w:r>
      <w:proofErr w:type="spellEnd"/>
      <w:r w:rsidRPr="00F3726D">
        <w:rPr>
          <w:color w:val="333333"/>
          <w:sz w:val="22"/>
          <w:szCs w:val="22"/>
          <w:lang w:val="uk-UA"/>
        </w:rPr>
        <w:t>. 14.1.147 п. 14.1 ст. 14 Податкового кодексу України (далі – ПКУ), плата за землю – це обов’язковий платіж у складі податку на майно, що справляється у формі земельного податку або орендної плати за земельні ділянки державної і комунальної власності.</w:t>
      </w:r>
    </w:p>
    <w:p w:rsidR="0045796F" w:rsidRPr="00F3726D" w:rsidRDefault="0045796F" w:rsidP="0045796F">
      <w:pPr>
        <w:pStyle w:val="normalweb"/>
        <w:shd w:val="clear" w:color="auto" w:fill="FFFFFF"/>
        <w:tabs>
          <w:tab w:val="left" w:pos="3416"/>
        </w:tabs>
        <w:spacing w:before="0" w:beforeAutospacing="0" w:after="0" w:afterAutospacing="0"/>
        <w:ind w:firstLine="567"/>
        <w:jc w:val="both"/>
        <w:rPr>
          <w:color w:val="333333"/>
          <w:sz w:val="22"/>
          <w:szCs w:val="22"/>
          <w:lang w:val="uk-UA"/>
        </w:rPr>
      </w:pPr>
      <w:r w:rsidRPr="00F3726D">
        <w:rPr>
          <w:b/>
          <w:color w:val="333333"/>
          <w:sz w:val="22"/>
          <w:szCs w:val="22"/>
          <w:lang w:val="uk-UA"/>
        </w:rPr>
        <w:t>Земельний податок</w:t>
      </w:r>
      <w:r w:rsidRPr="00F3726D">
        <w:rPr>
          <w:color w:val="333333"/>
          <w:sz w:val="22"/>
          <w:szCs w:val="22"/>
          <w:lang w:val="uk-UA"/>
        </w:rPr>
        <w:t xml:space="preserve"> – це обов’язковий платіж, що справляється з власників земельних ділянок та земельних часток (паїв), а також постійних землекористувачів (</w:t>
      </w:r>
      <w:proofErr w:type="spellStart"/>
      <w:r w:rsidRPr="00F3726D">
        <w:rPr>
          <w:color w:val="333333"/>
          <w:sz w:val="22"/>
          <w:szCs w:val="22"/>
          <w:lang w:val="uk-UA"/>
        </w:rPr>
        <w:t>п.п</w:t>
      </w:r>
      <w:proofErr w:type="spellEnd"/>
      <w:r w:rsidRPr="00F3726D">
        <w:rPr>
          <w:color w:val="333333"/>
          <w:sz w:val="22"/>
          <w:szCs w:val="22"/>
          <w:lang w:val="uk-UA"/>
        </w:rPr>
        <w:t>. 14.1.72 п. 14.1 ст. 14 ПКУ).</w:t>
      </w:r>
    </w:p>
    <w:p w:rsidR="0045796F" w:rsidRPr="00F3726D" w:rsidRDefault="0045796F" w:rsidP="0045796F">
      <w:pPr>
        <w:pStyle w:val="normalweb"/>
        <w:shd w:val="clear" w:color="auto" w:fill="FFFFFF"/>
        <w:tabs>
          <w:tab w:val="left" w:pos="3416"/>
        </w:tabs>
        <w:spacing w:before="0" w:beforeAutospacing="0" w:after="0" w:afterAutospacing="0"/>
        <w:ind w:firstLine="567"/>
        <w:jc w:val="both"/>
        <w:rPr>
          <w:color w:val="333333"/>
          <w:sz w:val="22"/>
          <w:szCs w:val="22"/>
          <w:lang w:val="uk-UA"/>
        </w:rPr>
      </w:pPr>
      <w:r w:rsidRPr="00F3726D">
        <w:rPr>
          <w:color w:val="333333"/>
          <w:sz w:val="22"/>
          <w:szCs w:val="22"/>
          <w:lang w:val="uk-UA"/>
        </w:rPr>
        <w:t xml:space="preserve">Згідно з </w:t>
      </w:r>
      <w:proofErr w:type="spellStart"/>
      <w:r w:rsidRPr="00F3726D">
        <w:rPr>
          <w:color w:val="333333"/>
          <w:sz w:val="22"/>
          <w:szCs w:val="22"/>
          <w:lang w:val="uk-UA"/>
        </w:rPr>
        <w:t>п.п</w:t>
      </w:r>
      <w:proofErr w:type="spellEnd"/>
      <w:r w:rsidRPr="00F3726D">
        <w:rPr>
          <w:color w:val="333333"/>
          <w:sz w:val="22"/>
          <w:szCs w:val="22"/>
          <w:lang w:val="uk-UA"/>
        </w:rPr>
        <w:t xml:space="preserve">. 14.1.136 п. 14.1 ст. 14 ПКУ, </w:t>
      </w:r>
      <w:r w:rsidRPr="00F3726D">
        <w:rPr>
          <w:b/>
          <w:color w:val="333333"/>
          <w:sz w:val="22"/>
          <w:szCs w:val="22"/>
          <w:lang w:val="uk-UA"/>
        </w:rPr>
        <w:t>орендна плата</w:t>
      </w:r>
      <w:r w:rsidRPr="00F3726D">
        <w:rPr>
          <w:color w:val="333333"/>
          <w:sz w:val="22"/>
          <w:szCs w:val="22"/>
          <w:lang w:val="uk-UA"/>
        </w:rPr>
        <w:t xml:space="preserve"> за земельні ділянки державної і комунальної власності – це обов’язковий платіж, який орендар вносить орендодавцеві за користування земельною ділянкою.</w:t>
      </w:r>
    </w:p>
    <w:p w:rsidR="0045796F" w:rsidRPr="00F3726D" w:rsidRDefault="0045796F" w:rsidP="0045796F">
      <w:pPr>
        <w:pStyle w:val="normalweb"/>
        <w:shd w:val="clear" w:color="auto" w:fill="FFFFFF"/>
        <w:tabs>
          <w:tab w:val="left" w:pos="3416"/>
        </w:tabs>
        <w:spacing w:before="0" w:beforeAutospacing="0" w:after="0" w:afterAutospacing="0"/>
        <w:ind w:firstLine="567"/>
        <w:jc w:val="both"/>
        <w:rPr>
          <w:color w:val="333333"/>
          <w:sz w:val="22"/>
          <w:szCs w:val="22"/>
          <w:lang w:val="uk-UA"/>
        </w:rPr>
      </w:pPr>
      <w:r w:rsidRPr="00F3726D">
        <w:rPr>
          <w:color w:val="333333"/>
          <w:sz w:val="22"/>
          <w:szCs w:val="22"/>
          <w:lang w:val="uk-UA"/>
        </w:rPr>
        <w:t>Нарахування фізичним особам сум плати за землю проводиться контролюючими органами (за місцем знаходження земельної ділянки), які надсилають платнику податку у порядку, визначеному ст. 42 ПКУ, до 01 липня поточного року податкове повідомлення-рішення про внесення податку за формою, встановленою у порядку, визначеному ст. 58 ПКУ  (п. 286.5 ст. 286 ПКУ).</w:t>
      </w:r>
    </w:p>
    <w:p w:rsidR="0045796F" w:rsidRPr="00F3726D" w:rsidRDefault="0045796F" w:rsidP="0045796F">
      <w:pPr>
        <w:pStyle w:val="normalweb"/>
        <w:shd w:val="clear" w:color="auto" w:fill="FFFFFF"/>
        <w:tabs>
          <w:tab w:val="left" w:pos="3416"/>
        </w:tabs>
        <w:spacing w:before="0" w:beforeAutospacing="0" w:after="0" w:afterAutospacing="0"/>
        <w:ind w:firstLine="567"/>
        <w:jc w:val="both"/>
        <w:rPr>
          <w:color w:val="333333"/>
          <w:sz w:val="22"/>
          <w:szCs w:val="22"/>
          <w:lang w:val="uk-UA"/>
        </w:rPr>
      </w:pPr>
      <w:r w:rsidRPr="00F3726D">
        <w:rPr>
          <w:color w:val="333333"/>
          <w:sz w:val="22"/>
          <w:szCs w:val="22"/>
          <w:lang w:val="uk-UA"/>
        </w:rPr>
        <w:t>Звертаємо увагу, що платники плати за землю мають право звернутися з письмовою заявою до контролюючого органу за місцем знаходження земельних ділянок для проведення звірки даних щодо:</w:t>
      </w:r>
    </w:p>
    <w:p w:rsidR="0045796F" w:rsidRPr="00F3726D" w:rsidRDefault="0045796F" w:rsidP="0045796F">
      <w:pPr>
        <w:pStyle w:val="normalweb"/>
        <w:shd w:val="clear" w:color="auto" w:fill="FFFFFF"/>
        <w:tabs>
          <w:tab w:val="left" w:pos="3416"/>
        </w:tabs>
        <w:spacing w:before="0" w:beforeAutospacing="0" w:after="0" w:afterAutospacing="0"/>
        <w:ind w:firstLine="567"/>
        <w:jc w:val="both"/>
        <w:rPr>
          <w:color w:val="333333"/>
          <w:sz w:val="22"/>
          <w:szCs w:val="22"/>
          <w:lang w:val="uk-UA"/>
        </w:rPr>
      </w:pPr>
      <w:r w:rsidRPr="00F3726D">
        <w:rPr>
          <w:color w:val="333333"/>
          <w:sz w:val="22"/>
          <w:szCs w:val="22"/>
          <w:lang w:val="uk-UA"/>
        </w:rPr>
        <w:t>розміру площ та кількості земельних ділянок, що перебувають у власності та/або користуванні платника податку;</w:t>
      </w:r>
    </w:p>
    <w:p w:rsidR="0045796F" w:rsidRPr="00F3726D" w:rsidRDefault="0045796F" w:rsidP="0045796F">
      <w:pPr>
        <w:pStyle w:val="normalweb"/>
        <w:shd w:val="clear" w:color="auto" w:fill="FFFFFF"/>
        <w:tabs>
          <w:tab w:val="left" w:pos="3416"/>
        </w:tabs>
        <w:spacing w:before="0" w:beforeAutospacing="0" w:after="0" w:afterAutospacing="0"/>
        <w:ind w:firstLine="567"/>
        <w:jc w:val="both"/>
        <w:rPr>
          <w:color w:val="333333"/>
          <w:sz w:val="22"/>
          <w:szCs w:val="22"/>
          <w:lang w:val="uk-UA"/>
        </w:rPr>
      </w:pPr>
      <w:r w:rsidRPr="00F3726D">
        <w:rPr>
          <w:color w:val="333333"/>
          <w:sz w:val="22"/>
          <w:szCs w:val="22"/>
          <w:lang w:val="uk-UA"/>
        </w:rPr>
        <w:t>права на користування пільгою зі сплати земельного податку з урахуванням положень підпунктів 281.4 та 281.5 ст. 281 ПКУ;</w:t>
      </w:r>
    </w:p>
    <w:p w:rsidR="0045796F" w:rsidRPr="00F3726D" w:rsidRDefault="0045796F" w:rsidP="0045796F">
      <w:pPr>
        <w:pStyle w:val="normalweb"/>
        <w:shd w:val="clear" w:color="auto" w:fill="FFFFFF"/>
        <w:tabs>
          <w:tab w:val="left" w:pos="3416"/>
        </w:tabs>
        <w:spacing w:before="0" w:beforeAutospacing="0" w:after="0" w:afterAutospacing="0"/>
        <w:ind w:firstLine="567"/>
        <w:jc w:val="both"/>
        <w:rPr>
          <w:color w:val="333333"/>
          <w:sz w:val="22"/>
          <w:szCs w:val="22"/>
          <w:lang w:val="uk-UA"/>
        </w:rPr>
      </w:pPr>
      <w:r w:rsidRPr="00F3726D">
        <w:rPr>
          <w:color w:val="333333"/>
          <w:sz w:val="22"/>
          <w:szCs w:val="22"/>
          <w:lang w:val="uk-UA"/>
        </w:rPr>
        <w:t>розміру ставки земельного податку;</w:t>
      </w:r>
    </w:p>
    <w:p w:rsidR="0045796F" w:rsidRPr="00F3726D" w:rsidRDefault="0045796F" w:rsidP="0045796F">
      <w:pPr>
        <w:pStyle w:val="normalweb"/>
        <w:shd w:val="clear" w:color="auto" w:fill="FFFFFF"/>
        <w:tabs>
          <w:tab w:val="left" w:pos="3416"/>
        </w:tabs>
        <w:spacing w:before="0" w:beforeAutospacing="0" w:after="0" w:afterAutospacing="0"/>
        <w:ind w:firstLine="567"/>
        <w:jc w:val="both"/>
        <w:rPr>
          <w:color w:val="333333"/>
          <w:sz w:val="22"/>
          <w:szCs w:val="22"/>
          <w:lang w:val="uk-UA"/>
        </w:rPr>
      </w:pPr>
      <w:r w:rsidRPr="00F3726D">
        <w:rPr>
          <w:color w:val="333333"/>
          <w:sz w:val="22"/>
          <w:szCs w:val="22"/>
          <w:lang w:val="uk-UA"/>
        </w:rPr>
        <w:t>нарахованої суми плати за землю.</w:t>
      </w:r>
    </w:p>
    <w:p w:rsidR="0045796F" w:rsidRPr="00F3726D" w:rsidRDefault="0045796F" w:rsidP="0045796F">
      <w:pPr>
        <w:pStyle w:val="normalweb"/>
        <w:shd w:val="clear" w:color="auto" w:fill="FFFFFF"/>
        <w:tabs>
          <w:tab w:val="left" w:pos="3416"/>
        </w:tabs>
        <w:spacing w:before="0" w:beforeAutospacing="0" w:after="0" w:afterAutospacing="0"/>
        <w:ind w:firstLine="567"/>
        <w:jc w:val="both"/>
        <w:rPr>
          <w:color w:val="333333"/>
          <w:sz w:val="22"/>
          <w:szCs w:val="22"/>
          <w:lang w:val="uk-UA"/>
        </w:rPr>
      </w:pPr>
      <w:r w:rsidRPr="00F3726D">
        <w:rPr>
          <w:color w:val="333333"/>
          <w:sz w:val="22"/>
          <w:szCs w:val="22"/>
          <w:lang w:val="uk-UA"/>
        </w:rPr>
        <w:t>У разі виявлення розбіжностей між даними контролюючих органів та даними, підтвердженими платником плати за землю на підставі оригіналів відповідних документів, зокрема документів на право власності, користування пільгою, а також у разі зміни розміру ставки плати за землю контролюючий орган (контролюючі органи) за місцем знаходження кожної із земельних ділянок проводить (проводять) протягом десяти робочих днів перерахунок суми податку і надсилає (вручає)/надсилають (вручають) йому нове податкове повідомлення-рішення. Попереднє податкове повідомлення-рішення вважається скасованим (відкликаним).</w:t>
      </w:r>
    </w:p>
    <w:p w:rsidR="0045796F" w:rsidRPr="00F3726D" w:rsidRDefault="0045796F" w:rsidP="0045796F">
      <w:pPr>
        <w:pStyle w:val="a5"/>
        <w:shd w:val="clear" w:color="auto" w:fill="FFFFFF"/>
        <w:tabs>
          <w:tab w:val="left" w:pos="3416"/>
        </w:tabs>
        <w:spacing w:before="0" w:beforeAutospacing="0" w:after="0" w:afterAutospacing="0"/>
        <w:ind w:firstLine="567"/>
        <w:jc w:val="both"/>
        <w:rPr>
          <w:color w:val="333333"/>
          <w:sz w:val="22"/>
          <w:szCs w:val="22"/>
          <w:lang w:val="uk-UA"/>
        </w:rPr>
      </w:pPr>
      <w:r w:rsidRPr="00F3726D">
        <w:rPr>
          <w:color w:val="333333"/>
          <w:sz w:val="22"/>
          <w:szCs w:val="22"/>
          <w:lang w:val="uk-UA"/>
        </w:rPr>
        <w:t>Пільги щодо сплати земельного податку для фізичних осіб наведено в ст. 281 Податкового кодексу України від 02 грудня 2010 року № 2755-VI зі змінами та доповненнями (далі – ПКУ).</w:t>
      </w:r>
    </w:p>
    <w:p w:rsidR="0045796F" w:rsidRPr="00F3726D" w:rsidRDefault="0045796F" w:rsidP="0045796F">
      <w:pPr>
        <w:pStyle w:val="a5"/>
        <w:shd w:val="clear" w:color="auto" w:fill="FFFFFF"/>
        <w:tabs>
          <w:tab w:val="left" w:pos="3416"/>
        </w:tabs>
        <w:spacing w:before="0" w:beforeAutospacing="0" w:after="0" w:afterAutospacing="0"/>
        <w:ind w:firstLine="567"/>
        <w:jc w:val="both"/>
        <w:rPr>
          <w:color w:val="333333"/>
          <w:sz w:val="22"/>
          <w:szCs w:val="22"/>
          <w:lang w:val="uk-UA"/>
        </w:rPr>
      </w:pPr>
      <w:r w:rsidRPr="00F3726D">
        <w:rPr>
          <w:color w:val="333333"/>
          <w:sz w:val="22"/>
          <w:szCs w:val="22"/>
          <w:lang w:val="uk-UA"/>
        </w:rPr>
        <w:t>Так, згідно з п. 281.1 ст. 281 ПКУ від сплати земельного податку звільняються:</w:t>
      </w:r>
    </w:p>
    <w:p w:rsidR="0045796F" w:rsidRPr="00F3726D" w:rsidRDefault="0045796F" w:rsidP="0045796F">
      <w:pPr>
        <w:pStyle w:val="a5"/>
        <w:shd w:val="clear" w:color="auto" w:fill="FFFFFF"/>
        <w:tabs>
          <w:tab w:val="left" w:pos="3416"/>
        </w:tabs>
        <w:spacing w:before="0" w:beforeAutospacing="0" w:after="0" w:afterAutospacing="0"/>
        <w:ind w:firstLine="567"/>
        <w:jc w:val="both"/>
        <w:rPr>
          <w:color w:val="333333"/>
          <w:sz w:val="22"/>
          <w:szCs w:val="22"/>
          <w:lang w:val="uk-UA"/>
        </w:rPr>
      </w:pPr>
      <w:r w:rsidRPr="00F3726D">
        <w:rPr>
          <w:color w:val="333333"/>
          <w:sz w:val="22"/>
          <w:szCs w:val="22"/>
          <w:lang w:val="uk-UA"/>
        </w:rPr>
        <w:t>особи з інвалідністю першої і другої групи;</w:t>
      </w:r>
    </w:p>
    <w:p w:rsidR="0045796F" w:rsidRPr="00F3726D" w:rsidRDefault="0045796F" w:rsidP="0045796F">
      <w:pPr>
        <w:pStyle w:val="a5"/>
        <w:shd w:val="clear" w:color="auto" w:fill="FFFFFF"/>
        <w:tabs>
          <w:tab w:val="left" w:pos="3416"/>
        </w:tabs>
        <w:spacing w:before="0" w:beforeAutospacing="0" w:after="0" w:afterAutospacing="0"/>
        <w:ind w:firstLine="567"/>
        <w:jc w:val="both"/>
        <w:rPr>
          <w:color w:val="333333"/>
          <w:sz w:val="22"/>
          <w:szCs w:val="22"/>
          <w:lang w:val="uk-UA"/>
        </w:rPr>
      </w:pPr>
      <w:r w:rsidRPr="00F3726D">
        <w:rPr>
          <w:color w:val="333333"/>
          <w:sz w:val="22"/>
          <w:szCs w:val="22"/>
          <w:lang w:val="uk-UA"/>
        </w:rPr>
        <w:t>фізичні особи, які виховують трьох і більше дітей віком до 18 років;</w:t>
      </w:r>
    </w:p>
    <w:p w:rsidR="0045796F" w:rsidRPr="00F3726D" w:rsidRDefault="0045796F" w:rsidP="0045796F">
      <w:pPr>
        <w:pStyle w:val="a5"/>
        <w:shd w:val="clear" w:color="auto" w:fill="FFFFFF"/>
        <w:tabs>
          <w:tab w:val="left" w:pos="3416"/>
        </w:tabs>
        <w:spacing w:before="0" w:beforeAutospacing="0" w:after="0" w:afterAutospacing="0"/>
        <w:ind w:firstLine="567"/>
        <w:jc w:val="both"/>
        <w:rPr>
          <w:color w:val="333333"/>
          <w:sz w:val="22"/>
          <w:szCs w:val="22"/>
          <w:lang w:val="uk-UA"/>
        </w:rPr>
      </w:pPr>
      <w:r w:rsidRPr="00F3726D">
        <w:rPr>
          <w:color w:val="333333"/>
          <w:sz w:val="22"/>
          <w:szCs w:val="22"/>
          <w:lang w:val="uk-UA"/>
        </w:rPr>
        <w:t>пенсіонери (за віком);</w:t>
      </w:r>
    </w:p>
    <w:p w:rsidR="0045796F" w:rsidRPr="00F3726D" w:rsidRDefault="0045796F" w:rsidP="0045796F">
      <w:pPr>
        <w:pStyle w:val="a5"/>
        <w:shd w:val="clear" w:color="auto" w:fill="FFFFFF"/>
        <w:tabs>
          <w:tab w:val="left" w:pos="3416"/>
        </w:tabs>
        <w:spacing w:before="0" w:beforeAutospacing="0" w:after="0" w:afterAutospacing="0"/>
        <w:ind w:firstLine="567"/>
        <w:jc w:val="both"/>
        <w:rPr>
          <w:color w:val="333333"/>
          <w:sz w:val="22"/>
          <w:szCs w:val="22"/>
          <w:lang w:val="uk-UA"/>
        </w:rPr>
      </w:pPr>
      <w:r w:rsidRPr="00F3726D">
        <w:rPr>
          <w:color w:val="333333"/>
          <w:sz w:val="22"/>
          <w:szCs w:val="22"/>
          <w:lang w:val="uk-UA"/>
        </w:rPr>
        <w:t xml:space="preserve">ветерани війни та особи, на яких поширюється дія </w:t>
      </w:r>
      <w:r>
        <w:rPr>
          <w:color w:val="333333"/>
          <w:sz w:val="22"/>
          <w:szCs w:val="22"/>
          <w:lang w:val="uk-UA"/>
        </w:rPr>
        <w:t xml:space="preserve">  </w:t>
      </w:r>
      <w:r w:rsidRPr="00F3726D">
        <w:rPr>
          <w:color w:val="333333"/>
          <w:sz w:val="22"/>
          <w:szCs w:val="22"/>
          <w:lang w:val="uk-UA"/>
        </w:rPr>
        <w:t>Закону</w:t>
      </w:r>
      <w:r>
        <w:rPr>
          <w:color w:val="333333"/>
          <w:sz w:val="22"/>
          <w:szCs w:val="22"/>
          <w:lang w:val="uk-UA"/>
        </w:rPr>
        <w:t xml:space="preserve">  </w:t>
      </w:r>
      <w:r w:rsidRPr="00F3726D">
        <w:rPr>
          <w:color w:val="333333"/>
          <w:sz w:val="22"/>
          <w:szCs w:val="22"/>
          <w:lang w:val="uk-UA"/>
        </w:rPr>
        <w:t xml:space="preserve"> України від 22 жовтня 1993 року </w:t>
      </w:r>
      <w:r>
        <w:rPr>
          <w:color w:val="333333"/>
          <w:sz w:val="22"/>
          <w:szCs w:val="22"/>
          <w:lang w:val="uk-UA"/>
        </w:rPr>
        <w:t xml:space="preserve"> </w:t>
      </w:r>
      <w:r w:rsidRPr="00F3726D">
        <w:rPr>
          <w:color w:val="333333"/>
          <w:sz w:val="22"/>
          <w:szCs w:val="22"/>
          <w:lang w:val="uk-UA"/>
        </w:rPr>
        <w:t>№ 3551-XII «Про статус ветеранів війни, гарантії їх соціального захисту»;</w:t>
      </w:r>
    </w:p>
    <w:p w:rsidR="0045796F" w:rsidRPr="00F3726D" w:rsidRDefault="0045796F" w:rsidP="0045796F">
      <w:pPr>
        <w:pStyle w:val="a5"/>
        <w:shd w:val="clear" w:color="auto" w:fill="FFFFFF"/>
        <w:tabs>
          <w:tab w:val="left" w:pos="3416"/>
        </w:tabs>
        <w:spacing w:before="0" w:beforeAutospacing="0" w:after="0" w:afterAutospacing="0"/>
        <w:ind w:firstLine="567"/>
        <w:jc w:val="both"/>
        <w:rPr>
          <w:color w:val="333333"/>
          <w:sz w:val="22"/>
          <w:szCs w:val="22"/>
          <w:lang w:val="uk-UA"/>
        </w:rPr>
      </w:pPr>
      <w:r w:rsidRPr="00F3726D">
        <w:rPr>
          <w:color w:val="333333"/>
          <w:sz w:val="22"/>
          <w:szCs w:val="22"/>
          <w:lang w:val="uk-UA"/>
        </w:rPr>
        <w:t>фізичні особи, визнані законом особами, які постраждали внаслідок Чорнобильської катастрофи.</w:t>
      </w:r>
    </w:p>
    <w:p w:rsidR="0045796F" w:rsidRPr="00F3726D" w:rsidRDefault="0045796F" w:rsidP="0045796F">
      <w:pPr>
        <w:pStyle w:val="a5"/>
        <w:shd w:val="clear" w:color="auto" w:fill="FFFFFF"/>
        <w:tabs>
          <w:tab w:val="left" w:pos="3416"/>
        </w:tabs>
        <w:spacing w:before="0" w:beforeAutospacing="0" w:after="0" w:afterAutospacing="0"/>
        <w:ind w:firstLine="567"/>
        <w:jc w:val="both"/>
        <w:rPr>
          <w:color w:val="333333"/>
          <w:sz w:val="22"/>
          <w:szCs w:val="22"/>
          <w:lang w:val="uk-UA"/>
        </w:rPr>
      </w:pPr>
      <w:r w:rsidRPr="00F3726D">
        <w:rPr>
          <w:color w:val="333333"/>
          <w:sz w:val="22"/>
          <w:szCs w:val="22"/>
          <w:lang w:val="uk-UA"/>
        </w:rPr>
        <w:t>Відповідно до п. 281.2 ст. 281 ПКУ звільнення від сплати податку за земельні ділянки, передбачене для відповідної категорії фізичних осіб п. 281.1 ст. 281 ПКУ, поширюється на земельні ділянки за кожним видом використання у межах граничних норм:</w:t>
      </w:r>
    </w:p>
    <w:p w:rsidR="0045796F" w:rsidRPr="00F3726D" w:rsidRDefault="0045796F" w:rsidP="0045796F">
      <w:pPr>
        <w:pStyle w:val="a5"/>
        <w:shd w:val="clear" w:color="auto" w:fill="FFFFFF"/>
        <w:tabs>
          <w:tab w:val="left" w:pos="3416"/>
        </w:tabs>
        <w:spacing w:before="0" w:beforeAutospacing="0" w:after="0" w:afterAutospacing="0"/>
        <w:ind w:firstLine="567"/>
        <w:jc w:val="both"/>
        <w:rPr>
          <w:color w:val="333333"/>
          <w:sz w:val="22"/>
          <w:szCs w:val="22"/>
          <w:lang w:val="uk-UA"/>
        </w:rPr>
      </w:pPr>
      <w:r w:rsidRPr="00F3726D">
        <w:rPr>
          <w:color w:val="333333"/>
          <w:sz w:val="22"/>
          <w:szCs w:val="22"/>
          <w:lang w:val="uk-UA"/>
        </w:rPr>
        <w:t>для ведення особистого селянського господарства – у розмірі не більш як 2 гектари;</w:t>
      </w:r>
    </w:p>
    <w:p w:rsidR="0045796F" w:rsidRPr="00F3726D" w:rsidRDefault="0045796F" w:rsidP="0045796F">
      <w:pPr>
        <w:pStyle w:val="a5"/>
        <w:shd w:val="clear" w:color="auto" w:fill="FFFFFF"/>
        <w:tabs>
          <w:tab w:val="left" w:pos="3416"/>
        </w:tabs>
        <w:spacing w:before="0" w:beforeAutospacing="0" w:after="0" w:afterAutospacing="0"/>
        <w:ind w:firstLine="567"/>
        <w:jc w:val="both"/>
        <w:rPr>
          <w:color w:val="333333"/>
          <w:sz w:val="22"/>
          <w:szCs w:val="22"/>
          <w:lang w:val="uk-UA"/>
        </w:rPr>
      </w:pPr>
      <w:r w:rsidRPr="00F3726D">
        <w:rPr>
          <w:color w:val="333333"/>
          <w:sz w:val="22"/>
          <w:szCs w:val="22"/>
          <w:lang w:val="uk-UA"/>
        </w:rPr>
        <w:t>для будівництва та обслуговування житлового будинку, господарських будівель і споруд (присадибна ділянка): у селах – не більш як 0,25 гектара, в селищах – не більш як 0,15 гектара, в містах – не більш як 0,10 гектара;</w:t>
      </w:r>
    </w:p>
    <w:p w:rsidR="0045796F" w:rsidRPr="00F3726D" w:rsidRDefault="0045796F" w:rsidP="0045796F">
      <w:pPr>
        <w:pStyle w:val="a5"/>
        <w:shd w:val="clear" w:color="auto" w:fill="FFFFFF"/>
        <w:tabs>
          <w:tab w:val="left" w:pos="3416"/>
        </w:tabs>
        <w:spacing w:before="0" w:beforeAutospacing="0" w:after="0" w:afterAutospacing="0"/>
        <w:ind w:firstLine="567"/>
        <w:jc w:val="both"/>
        <w:rPr>
          <w:color w:val="333333"/>
          <w:sz w:val="22"/>
          <w:szCs w:val="22"/>
          <w:lang w:val="uk-UA"/>
        </w:rPr>
      </w:pPr>
      <w:r w:rsidRPr="00F3726D">
        <w:rPr>
          <w:color w:val="333333"/>
          <w:sz w:val="22"/>
          <w:szCs w:val="22"/>
          <w:lang w:val="uk-UA"/>
        </w:rPr>
        <w:t>для індивідуального дачного будівництва – не більш як 0,10 гектара;</w:t>
      </w:r>
    </w:p>
    <w:p w:rsidR="0045796F" w:rsidRPr="00F3726D" w:rsidRDefault="0045796F" w:rsidP="0045796F">
      <w:pPr>
        <w:pStyle w:val="a5"/>
        <w:shd w:val="clear" w:color="auto" w:fill="FFFFFF"/>
        <w:tabs>
          <w:tab w:val="left" w:pos="3416"/>
        </w:tabs>
        <w:spacing w:before="0" w:beforeAutospacing="0" w:after="0" w:afterAutospacing="0"/>
        <w:ind w:firstLine="567"/>
        <w:jc w:val="both"/>
        <w:rPr>
          <w:color w:val="333333"/>
          <w:sz w:val="22"/>
          <w:szCs w:val="22"/>
          <w:lang w:val="uk-UA"/>
        </w:rPr>
      </w:pPr>
      <w:r w:rsidRPr="00F3726D">
        <w:rPr>
          <w:color w:val="333333"/>
          <w:sz w:val="22"/>
          <w:szCs w:val="22"/>
          <w:lang w:val="uk-UA"/>
        </w:rPr>
        <w:t>для будівництва індивідуальних гаражів – не більш як 0,01 гектара;</w:t>
      </w:r>
    </w:p>
    <w:p w:rsidR="0045796F" w:rsidRPr="00F3726D" w:rsidRDefault="0045796F" w:rsidP="0045796F">
      <w:pPr>
        <w:pStyle w:val="a5"/>
        <w:shd w:val="clear" w:color="auto" w:fill="FFFFFF"/>
        <w:tabs>
          <w:tab w:val="left" w:pos="3416"/>
        </w:tabs>
        <w:spacing w:before="0" w:beforeAutospacing="0" w:after="0" w:afterAutospacing="0"/>
        <w:ind w:firstLine="567"/>
        <w:jc w:val="both"/>
        <w:rPr>
          <w:color w:val="333333"/>
          <w:sz w:val="22"/>
          <w:szCs w:val="22"/>
          <w:lang w:val="uk-UA"/>
        </w:rPr>
      </w:pPr>
      <w:r w:rsidRPr="00F3726D">
        <w:rPr>
          <w:color w:val="333333"/>
          <w:sz w:val="22"/>
          <w:szCs w:val="22"/>
          <w:lang w:val="uk-UA"/>
        </w:rPr>
        <w:t>для ведення садівництва – не більш як 0,12 гектара.</w:t>
      </w:r>
    </w:p>
    <w:p w:rsidR="0045796F" w:rsidRPr="00F3726D" w:rsidRDefault="0045796F" w:rsidP="0045796F">
      <w:pPr>
        <w:pStyle w:val="a5"/>
        <w:shd w:val="clear" w:color="auto" w:fill="FFFFFF"/>
        <w:tabs>
          <w:tab w:val="left" w:pos="3416"/>
        </w:tabs>
        <w:spacing w:before="0" w:beforeAutospacing="0" w:after="0" w:afterAutospacing="0"/>
        <w:ind w:firstLine="567"/>
        <w:jc w:val="both"/>
        <w:rPr>
          <w:color w:val="333333"/>
          <w:sz w:val="22"/>
          <w:szCs w:val="22"/>
          <w:lang w:val="uk-UA"/>
        </w:rPr>
      </w:pPr>
      <w:r w:rsidRPr="00F3726D">
        <w:rPr>
          <w:color w:val="333333"/>
          <w:sz w:val="22"/>
          <w:szCs w:val="22"/>
          <w:lang w:val="uk-UA"/>
        </w:rPr>
        <w:t xml:space="preserve">Пунктом 281.4 ст. 281 ПКУ визначено, що якщо фізична особа, визначена у п. 281.1 ст. 281 ПКУ, станом на 01 січня поточного року має у власності декілька земельних ділянок одного виду використання, площа яких перевищує межі граничних норм, визначених п. 281.2 ст. 281 ПКУ, така особа до 01 травня поточного року подає письмову заяву у довільній формі до контролюючого </w:t>
      </w:r>
      <w:r w:rsidRPr="00F3726D">
        <w:rPr>
          <w:color w:val="333333"/>
          <w:sz w:val="22"/>
          <w:szCs w:val="22"/>
          <w:lang w:val="uk-UA"/>
        </w:rPr>
        <w:lastRenderedPageBreak/>
        <w:t>органу за місцем знаходження будь-якої земельної ділянки про самостійне обрання/зміну земельних ділянок для застосування пільги (далі – заява про застосування пільги).</w:t>
      </w:r>
    </w:p>
    <w:p w:rsidR="0045796F" w:rsidRPr="00F3726D" w:rsidRDefault="0045796F" w:rsidP="0045796F">
      <w:pPr>
        <w:pStyle w:val="a5"/>
        <w:shd w:val="clear" w:color="auto" w:fill="FFFFFF"/>
        <w:tabs>
          <w:tab w:val="left" w:pos="3416"/>
        </w:tabs>
        <w:spacing w:before="0" w:beforeAutospacing="0" w:after="0" w:afterAutospacing="0"/>
        <w:ind w:firstLine="567"/>
        <w:jc w:val="both"/>
        <w:rPr>
          <w:color w:val="333333"/>
          <w:sz w:val="22"/>
          <w:szCs w:val="22"/>
          <w:lang w:val="uk-UA"/>
        </w:rPr>
      </w:pPr>
      <w:r w:rsidRPr="00F3726D">
        <w:rPr>
          <w:color w:val="333333"/>
          <w:sz w:val="22"/>
          <w:szCs w:val="22"/>
          <w:lang w:val="uk-UA"/>
        </w:rPr>
        <w:t>Пільга починає застосовуватися до обраних земельних ділянок з базового податкового (звітного) періоду, в якому подано таку заяву, та діє до початку місяця, що настає за місяцем подання нової заяви про застосування пільги.</w:t>
      </w:r>
    </w:p>
    <w:p w:rsidR="0045796F" w:rsidRPr="00F3726D" w:rsidRDefault="0045796F" w:rsidP="0045796F">
      <w:pPr>
        <w:pStyle w:val="a5"/>
        <w:shd w:val="clear" w:color="auto" w:fill="FFFFFF"/>
        <w:tabs>
          <w:tab w:val="left" w:pos="3416"/>
        </w:tabs>
        <w:spacing w:before="0" w:beforeAutospacing="0" w:after="0" w:afterAutospacing="0"/>
        <w:ind w:firstLine="567"/>
        <w:jc w:val="both"/>
        <w:rPr>
          <w:color w:val="333333"/>
          <w:sz w:val="22"/>
          <w:szCs w:val="22"/>
          <w:lang w:val="uk-UA"/>
        </w:rPr>
      </w:pPr>
      <w:r w:rsidRPr="00F3726D">
        <w:rPr>
          <w:color w:val="333333"/>
          <w:sz w:val="22"/>
          <w:szCs w:val="22"/>
          <w:lang w:val="uk-UA"/>
        </w:rPr>
        <w:t>У разі подання фізичною особою, яка станом на 01 січня поточного року має у власності декілька земельних ділянок одного виду використання, заяви про застосування пільги після 01 травня поточного року, пільга починає застосовуватися до обраних земельних ділянок з наступного податкового (звітного) періоду.</w:t>
      </w:r>
    </w:p>
    <w:p w:rsidR="0045796F" w:rsidRPr="00F3726D" w:rsidRDefault="0045796F" w:rsidP="0045796F">
      <w:pPr>
        <w:pStyle w:val="a5"/>
        <w:shd w:val="clear" w:color="auto" w:fill="FFFFFF"/>
        <w:tabs>
          <w:tab w:val="left" w:pos="3416"/>
        </w:tabs>
        <w:spacing w:before="0" w:beforeAutospacing="0" w:after="0" w:afterAutospacing="0"/>
        <w:ind w:firstLine="567"/>
        <w:jc w:val="both"/>
        <w:rPr>
          <w:color w:val="333333"/>
          <w:sz w:val="22"/>
          <w:szCs w:val="22"/>
          <w:lang w:val="uk-UA"/>
        </w:rPr>
      </w:pPr>
      <w:r w:rsidRPr="00F3726D">
        <w:rPr>
          <w:color w:val="333333"/>
          <w:sz w:val="22"/>
          <w:szCs w:val="22"/>
          <w:lang w:val="uk-UA"/>
        </w:rPr>
        <w:t>Згідно з п. 281.5 ст. 281 ПКУ, якщо право на пільгу у фізичної особи, яка має у власності декілька земельних ділянок одного виду використання, виникає протягом календарного року та/або фізична особа, визначена у п. 281.1 ст. 281 ПКУ, набуває право власності на земельну ділянку/земельні ділянки одного виду використання, така особа подає заяву про застосування пільги до контролюючого органу за місцем знаходження будь-якої земельної ділянки протягом 30 календарних днів з дня набуття такого права на пільгу та/або права власності.</w:t>
      </w:r>
    </w:p>
    <w:p w:rsidR="0045796F" w:rsidRPr="00F3726D" w:rsidRDefault="0045796F" w:rsidP="0045796F">
      <w:pPr>
        <w:pStyle w:val="a5"/>
        <w:shd w:val="clear" w:color="auto" w:fill="FFFFFF"/>
        <w:tabs>
          <w:tab w:val="left" w:pos="3416"/>
        </w:tabs>
        <w:spacing w:before="0" w:beforeAutospacing="0" w:after="0" w:afterAutospacing="0"/>
        <w:ind w:firstLine="567"/>
        <w:jc w:val="both"/>
        <w:rPr>
          <w:color w:val="333333"/>
          <w:sz w:val="22"/>
          <w:szCs w:val="22"/>
          <w:lang w:val="uk-UA"/>
        </w:rPr>
      </w:pPr>
      <w:r w:rsidRPr="00F3726D">
        <w:rPr>
          <w:color w:val="333333"/>
          <w:sz w:val="22"/>
          <w:szCs w:val="22"/>
          <w:lang w:val="uk-UA"/>
        </w:rPr>
        <w:t>Пільга починає застосовуватися до обраних земельних ділянок з урахуванням вимог п. 284.2 ст. 284 ПКУ та діє до початку місяця, що настає за місяцем подання нової заяви про застосування пільги.</w:t>
      </w:r>
    </w:p>
    <w:p w:rsidR="0045796F" w:rsidRPr="00F3726D" w:rsidRDefault="0045796F" w:rsidP="0045796F">
      <w:pPr>
        <w:pStyle w:val="a5"/>
        <w:shd w:val="clear" w:color="auto" w:fill="FFFFFF"/>
        <w:tabs>
          <w:tab w:val="left" w:pos="3416"/>
        </w:tabs>
        <w:spacing w:before="0" w:beforeAutospacing="0" w:after="0" w:afterAutospacing="0"/>
        <w:ind w:firstLine="567"/>
        <w:jc w:val="both"/>
        <w:rPr>
          <w:color w:val="333333"/>
          <w:sz w:val="22"/>
          <w:szCs w:val="22"/>
          <w:lang w:val="uk-UA"/>
        </w:rPr>
      </w:pPr>
      <w:r w:rsidRPr="00F3726D">
        <w:rPr>
          <w:color w:val="333333"/>
          <w:sz w:val="22"/>
          <w:szCs w:val="22"/>
          <w:lang w:val="uk-UA"/>
        </w:rPr>
        <w:t>У разі недотримання фізичною особою вимог абзацу першого п. 281.5 ст. 281 ПКУ пільга починає застосовуватися до обраних земельних ділянок з наступного податкового (звітного) періоду.</w:t>
      </w:r>
    </w:p>
    <w:p w:rsidR="0045796F" w:rsidRPr="00F3726D" w:rsidRDefault="0045796F" w:rsidP="0045796F">
      <w:pPr>
        <w:pStyle w:val="a5"/>
        <w:shd w:val="clear" w:color="auto" w:fill="FFFFFF"/>
        <w:tabs>
          <w:tab w:val="left" w:pos="3416"/>
        </w:tabs>
        <w:spacing w:before="0" w:beforeAutospacing="0" w:after="0" w:afterAutospacing="0"/>
        <w:ind w:firstLine="567"/>
        <w:jc w:val="both"/>
        <w:rPr>
          <w:color w:val="333333"/>
          <w:sz w:val="22"/>
          <w:szCs w:val="22"/>
          <w:lang w:val="uk-UA"/>
        </w:rPr>
      </w:pPr>
      <w:r w:rsidRPr="00F3726D">
        <w:rPr>
          <w:color w:val="333333"/>
          <w:sz w:val="22"/>
          <w:szCs w:val="22"/>
          <w:lang w:val="uk-UA"/>
        </w:rPr>
        <w:t>Базовим податковим (звітним) періодом для плати за землю є календарний рік (п. 285.1 ст. 285 ПКУ).</w:t>
      </w:r>
    </w:p>
    <w:p w:rsidR="0045796F" w:rsidRPr="00F3726D" w:rsidRDefault="0045796F" w:rsidP="0045796F">
      <w:pPr>
        <w:pStyle w:val="normalweb"/>
        <w:shd w:val="clear" w:color="auto" w:fill="FFFFFF"/>
        <w:tabs>
          <w:tab w:val="left" w:pos="3416"/>
        </w:tabs>
        <w:spacing w:before="0" w:beforeAutospacing="0" w:after="0" w:afterAutospacing="0"/>
        <w:ind w:firstLine="567"/>
        <w:jc w:val="both"/>
        <w:rPr>
          <w:color w:val="333333"/>
          <w:sz w:val="22"/>
          <w:szCs w:val="22"/>
          <w:lang w:val="uk-UA"/>
        </w:rPr>
      </w:pPr>
      <w:r w:rsidRPr="00F3726D">
        <w:rPr>
          <w:color w:val="333333"/>
          <w:sz w:val="22"/>
          <w:szCs w:val="22"/>
          <w:lang w:val="uk-UA"/>
        </w:rPr>
        <w:t xml:space="preserve">Крім того, фізичні особи, з використанням кваліфікованого електронного підпису, мають можливість переглянути сформовані податкові повідомлення-рішення щодо сум нарахованих їм податкових зобов’язань з плати за землю, в приватній частині Електронного кабінету, вхід до якого здійснюється за </w:t>
      </w:r>
      <w:proofErr w:type="spellStart"/>
      <w:r w:rsidRPr="00F3726D">
        <w:rPr>
          <w:color w:val="333333"/>
          <w:sz w:val="22"/>
          <w:szCs w:val="22"/>
          <w:lang w:val="uk-UA"/>
        </w:rPr>
        <w:t>адресою</w:t>
      </w:r>
      <w:proofErr w:type="spellEnd"/>
      <w:r w:rsidRPr="00F3726D">
        <w:rPr>
          <w:color w:val="333333"/>
          <w:sz w:val="22"/>
          <w:szCs w:val="22"/>
          <w:lang w:val="uk-UA"/>
        </w:rPr>
        <w:t>:</w:t>
      </w:r>
      <w:r w:rsidRPr="00F3726D">
        <w:rPr>
          <w:rStyle w:val="apple-converted-space"/>
          <w:color w:val="333333"/>
          <w:sz w:val="22"/>
          <w:szCs w:val="22"/>
          <w:lang w:val="uk-UA"/>
        </w:rPr>
        <w:t> </w:t>
      </w:r>
      <w:hyperlink r:id="rId5" w:history="1">
        <w:r w:rsidRPr="00F3726D">
          <w:rPr>
            <w:rStyle w:val="a7"/>
            <w:color w:val="00518C"/>
            <w:sz w:val="22"/>
            <w:szCs w:val="22"/>
            <w:lang w:val="uk-UA"/>
          </w:rPr>
          <w:t>http://cabinet.tax.gov.ua</w:t>
        </w:r>
      </w:hyperlink>
      <w:r w:rsidRPr="00F3726D">
        <w:rPr>
          <w:color w:val="333333"/>
          <w:sz w:val="22"/>
          <w:szCs w:val="22"/>
          <w:lang w:val="uk-UA"/>
        </w:rPr>
        <w:t xml:space="preserve">, а також через офіційний </w:t>
      </w:r>
      <w:proofErr w:type="spellStart"/>
      <w:r w:rsidRPr="00F3726D">
        <w:rPr>
          <w:color w:val="333333"/>
          <w:sz w:val="22"/>
          <w:szCs w:val="22"/>
          <w:lang w:val="uk-UA"/>
        </w:rPr>
        <w:t>вебпортал</w:t>
      </w:r>
      <w:proofErr w:type="spellEnd"/>
      <w:r w:rsidRPr="00F3726D">
        <w:rPr>
          <w:color w:val="333333"/>
          <w:sz w:val="22"/>
          <w:szCs w:val="22"/>
          <w:lang w:val="uk-UA"/>
        </w:rPr>
        <w:t xml:space="preserve"> ДПС.</w:t>
      </w:r>
    </w:p>
    <w:p w:rsidR="0045796F" w:rsidRPr="00F3726D" w:rsidRDefault="0045796F" w:rsidP="0045796F">
      <w:pPr>
        <w:pStyle w:val="normalweb"/>
        <w:shd w:val="clear" w:color="auto" w:fill="FFFFFF"/>
        <w:tabs>
          <w:tab w:val="left" w:pos="3416"/>
        </w:tabs>
        <w:spacing w:before="0" w:beforeAutospacing="0" w:after="0" w:afterAutospacing="0"/>
        <w:ind w:firstLine="567"/>
        <w:jc w:val="both"/>
        <w:rPr>
          <w:color w:val="333333"/>
          <w:sz w:val="22"/>
          <w:szCs w:val="22"/>
          <w:lang w:val="uk-UA"/>
        </w:rPr>
      </w:pPr>
      <w:r w:rsidRPr="00F3726D">
        <w:rPr>
          <w:color w:val="333333"/>
          <w:sz w:val="22"/>
          <w:szCs w:val="22"/>
          <w:lang w:val="uk-UA"/>
        </w:rPr>
        <w:t>Нагадуємо, що земельний податок за земельні ділянки державної і комунальної власності фізичними особами сплачується протягом 60 днів з дня вручення податкового повідомлення-рішення.</w:t>
      </w:r>
    </w:p>
    <w:p w:rsidR="0045796F" w:rsidRPr="0015020B" w:rsidRDefault="0045796F" w:rsidP="0045796F">
      <w:pPr>
        <w:tabs>
          <w:tab w:val="left" w:pos="3416"/>
        </w:tabs>
        <w:ind w:left="5760"/>
        <w:rPr>
          <w:b/>
          <w:color w:val="333333"/>
          <w:lang w:val="uk-UA"/>
        </w:rPr>
      </w:pPr>
      <w:proofErr w:type="spellStart"/>
      <w:r w:rsidRPr="0015020B">
        <w:rPr>
          <w:b/>
          <w:color w:val="333333"/>
          <w:lang w:val="uk-UA"/>
        </w:rPr>
        <w:t>Старобільський</w:t>
      </w:r>
      <w:proofErr w:type="spellEnd"/>
      <w:r w:rsidRPr="0015020B">
        <w:rPr>
          <w:b/>
          <w:color w:val="333333"/>
          <w:lang w:val="uk-UA"/>
        </w:rPr>
        <w:t xml:space="preserve"> сектор організації роботи організаційно-розпорядчого управління Головного управління ДПС у Луганській області</w:t>
      </w:r>
    </w:p>
    <w:p w:rsidR="0045796F" w:rsidRPr="0013718D" w:rsidRDefault="0045796F" w:rsidP="000738BF">
      <w:pPr>
        <w:ind w:left="708" w:firstLine="708"/>
        <w:rPr>
          <w:sz w:val="28"/>
          <w:szCs w:val="28"/>
          <w:lang w:val="uk-UA"/>
        </w:rPr>
      </w:pPr>
      <w:bookmarkStart w:id="0" w:name="_GoBack"/>
      <w:bookmarkEnd w:id="0"/>
    </w:p>
    <w:sectPr w:rsidR="0045796F" w:rsidRPr="0013718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CC"/>
    <w:family w:val="roman"/>
    <w:pitch w:val="variable"/>
    <w:sig w:usb0="E0002AFF" w:usb1="C0007841" w:usb2="00000009" w:usb3="00000000" w:csb0="000001FF" w:csb1="00000000"/>
  </w:font>
  <w:font w:name="Courier New">
    <w:altName w:val="Courier New"/>
    <w:panose1 w:val="02070309020205020404"/>
    <w:charset w:val="CC"/>
    <w:family w:val="modern"/>
    <w:pitch w:val="fixed"/>
    <w:sig w:usb0="E0002AFF" w:usb1="C0007843" w:usb2="00000009" w:usb3="00000000" w:csb0="000001FF" w:csb1="00000000"/>
  </w:font>
  <w:font w:name="Wingdings">
    <w:altName w:val="Arial"/>
    <w:panose1 w:val="05000000000000000000"/>
    <w:charset w:val="02"/>
    <w:family w:val="auto"/>
    <w:pitch w:val="variable"/>
    <w:sig w:usb0="00000000" w:usb1="10000000" w:usb2="00000000" w:usb3="00000000" w:csb0="80000000" w:csb1="00000000"/>
  </w:font>
  <w:font w:name="Symbol">
    <w:altName w:val="MT Extra"/>
    <w:panose1 w:val="05050102010706020507"/>
    <w:charset w:val="02"/>
    <w:family w:val="roman"/>
    <w:pitch w:val="variable"/>
    <w:sig w:usb0="00000000" w:usb1="10000000" w:usb2="00000000" w:usb3="00000000" w:csb0="80000000" w:csb1="00000000"/>
  </w:font>
  <w:font w:name="Calibri">
    <w:altName w:val="Century Gothic"/>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Verdana">
    <w:altName w:val="??L"/>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476A08"/>
    <w:multiLevelType w:val="hybridMultilevel"/>
    <w:tmpl w:val="3126F6AA"/>
    <w:lvl w:ilvl="0" w:tplc="751C1D02">
      <w:numFmt w:val="bullet"/>
      <w:lvlText w:val="-"/>
      <w:lvlJc w:val="left"/>
      <w:pPr>
        <w:ind w:left="1504" w:hanging="360"/>
      </w:pPr>
      <w:rPr>
        <w:rFonts w:ascii="Times New Roman" w:eastAsia="Times New Roman" w:hAnsi="Times New Roman" w:hint="default"/>
      </w:rPr>
    </w:lvl>
    <w:lvl w:ilvl="1" w:tplc="04190003" w:tentative="1">
      <w:start w:val="1"/>
      <w:numFmt w:val="bullet"/>
      <w:lvlText w:val="o"/>
      <w:lvlJc w:val="left"/>
      <w:pPr>
        <w:ind w:left="2224" w:hanging="360"/>
      </w:pPr>
      <w:rPr>
        <w:rFonts w:ascii="Courier New" w:hAnsi="Courier New" w:hint="default"/>
      </w:rPr>
    </w:lvl>
    <w:lvl w:ilvl="2" w:tplc="04190005" w:tentative="1">
      <w:start w:val="1"/>
      <w:numFmt w:val="bullet"/>
      <w:lvlText w:val=""/>
      <w:lvlJc w:val="left"/>
      <w:pPr>
        <w:ind w:left="2944" w:hanging="360"/>
      </w:pPr>
      <w:rPr>
        <w:rFonts w:ascii="Wingdings" w:hAnsi="Wingdings" w:hint="default"/>
      </w:rPr>
    </w:lvl>
    <w:lvl w:ilvl="3" w:tplc="04190001" w:tentative="1">
      <w:start w:val="1"/>
      <w:numFmt w:val="bullet"/>
      <w:lvlText w:val=""/>
      <w:lvlJc w:val="left"/>
      <w:pPr>
        <w:ind w:left="3664" w:hanging="360"/>
      </w:pPr>
      <w:rPr>
        <w:rFonts w:ascii="Symbol" w:hAnsi="Symbol" w:hint="default"/>
      </w:rPr>
    </w:lvl>
    <w:lvl w:ilvl="4" w:tplc="04190003" w:tentative="1">
      <w:start w:val="1"/>
      <w:numFmt w:val="bullet"/>
      <w:lvlText w:val="o"/>
      <w:lvlJc w:val="left"/>
      <w:pPr>
        <w:ind w:left="4384" w:hanging="360"/>
      </w:pPr>
      <w:rPr>
        <w:rFonts w:ascii="Courier New" w:hAnsi="Courier New" w:hint="default"/>
      </w:rPr>
    </w:lvl>
    <w:lvl w:ilvl="5" w:tplc="04190005" w:tentative="1">
      <w:start w:val="1"/>
      <w:numFmt w:val="bullet"/>
      <w:lvlText w:val=""/>
      <w:lvlJc w:val="left"/>
      <w:pPr>
        <w:ind w:left="5104" w:hanging="360"/>
      </w:pPr>
      <w:rPr>
        <w:rFonts w:ascii="Wingdings" w:hAnsi="Wingdings" w:hint="default"/>
      </w:rPr>
    </w:lvl>
    <w:lvl w:ilvl="6" w:tplc="04190001" w:tentative="1">
      <w:start w:val="1"/>
      <w:numFmt w:val="bullet"/>
      <w:lvlText w:val=""/>
      <w:lvlJc w:val="left"/>
      <w:pPr>
        <w:ind w:left="5824" w:hanging="360"/>
      </w:pPr>
      <w:rPr>
        <w:rFonts w:ascii="Symbol" w:hAnsi="Symbol" w:hint="default"/>
      </w:rPr>
    </w:lvl>
    <w:lvl w:ilvl="7" w:tplc="04190003" w:tentative="1">
      <w:start w:val="1"/>
      <w:numFmt w:val="bullet"/>
      <w:lvlText w:val="o"/>
      <w:lvlJc w:val="left"/>
      <w:pPr>
        <w:ind w:left="6544" w:hanging="360"/>
      </w:pPr>
      <w:rPr>
        <w:rFonts w:ascii="Courier New" w:hAnsi="Courier New" w:hint="default"/>
      </w:rPr>
    </w:lvl>
    <w:lvl w:ilvl="8" w:tplc="04190005" w:tentative="1">
      <w:start w:val="1"/>
      <w:numFmt w:val="bullet"/>
      <w:lvlText w:val=""/>
      <w:lvlJc w:val="left"/>
      <w:pPr>
        <w:ind w:left="7264" w:hanging="360"/>
      </w:pPr>
      <w:rPr>
        <w:rFonts w:ascii="Wingdings" w:hAnsi="Wingdings" w:hint="default"/>
      </w:rPr>
    </w:lvl>
  </w:abstractNum>
  <w:abstractNum w:abstractNumId="1" w15:restartNumberingAfterBreak="0">
    <w:nsid w:val="38CA4993"/>
    <w:multiLevelType w:val="hybridMultilevel"/>
    <w:tmpl w:val="7E2261C8"/>
    <w:lvl w:ilvl="0" w:tplc="0419000B">
      <w:start w:val="1"/>
      <w:numFmt w:val="bullet"/>
      <w:lvlText w:val=""/>
      <w:lvlJc w:val="left"/>
      <w:pPr>
        <w:ind w:left="1146" w:hanging="360"/>
      </w:pPr>
      <w:rPr>
        <w:rFonts w:ascii="Wingdings" w:hAnsi="Wingdings" w:hint="default"/>
      </w:rPr>
    </w:lvl>
    <w:lvl w:ilvl="1" w:tplc="04190003" w:tentative="1">
      <w:start w:val="1"/>
      <w:numFmt w:val="bullet"/>
      <w:lvlText w:val="o"/>
      <w:lvlJc w:val="left"/>
      <w:pPr>
        <w:ind w:left="1866" w:hanging="360"/>
      </w:pPr>
      <w:rPr>
        <w:rFonts w:ascii="Courier New" w:hAnsi="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 w15:restartNumberingAfterBreak="0">
    <w:nsid w:val="3F0C73FD"/>
    <w:multiLevelType w:val="multilevel"/>
    <w:tmpl w:val="C71AE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3A04"/>
    <w:rsid w:val="00012A3F"/>
    <w:rsid w:val="0002084C"/>
    <w:rsid w:val="00035CB1"/>
    <w:rsid w:val="00057657"/>
    <w:rsid w:val="000738BF"/>
    <w:rsid w:val="000D3ADD"/>
    <w:rsid w:val="00103700"/>
    <w:rsid w:val="0013718D"/>
    <w:rsid w:val="00202CF6"/>
    <w:rsid w:val="00253740"/>
    <w:rsid w:val="002856DF"/>
    <w:rsid w:val="00287495"/>
    <w:rsid w:val="002A0B09"/>
    <w:rsid w:val="002A6AA0"/>
    <w:rsid w:val="002D5E1D"/>
    <w:rsid w:val="00362BBD"/>
    <w:rsid w:val="003A19F8"/>
    <w:rsid w:val="003C134A"/>
    <w:rsid w:val="00454452"/>
    <w:rsid w:val="0045796F"/>
    <w:rsid w:val="00502DA7"/>
    <w:rsid w:val="0057716B"/>
    <w:rsid w:val="005963DD"/>
    <w:rsid w:val="005B693E"/>
    <w:rsid w:val="005C507A"/>
    <w:rsid w:val="007E342A"/>
    <w:rsid w:val="008B2CF2"/>
    <w:rsid w:val="009307BC"/>
    <w:rsid w:val="00934BD1"/>
    <w:rsid w:val="009C0225"/>
    <w:rsid w:val="009C77DB"/>
    <w:rsid w:val="00A23E79"/>
    <w:rsid w:val="00A946C8"/>
    <w:rsid w:val="00AB5424"/>
    <w:rsid w:val="00B526EC"/>
    <w:rsid w:val="00BB47A7"/>
    <w:rsid w:val="00C159DC"/>
    <w:rsid w:val="00C52048"/>
    <w:rsid w:val="00CB3472"/>
    <w:rsid w:val="00D15EB0"/>
    <w:rsid w:val="00DA3A17"/>
    <w:rsid w:val="00DF0C73"/>
    <w:rsid w:val="00E33A04"/>
    <w:rsid w:val="00E446AD"/>
    <w:rsid w:val="00E629D1"/>
    <w:rsid w:val="00E94E32"/>
    <w:rsid w:val="00EB374F"/>
    <w:rsid w:val="00ED0779"/>
    <w:rsid w:val="00F50385"/>
    <w:rsid w:val="00F8647C"/>
    <w:rsid w:val="00FF5F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49DA0C"/>
  <w15:chartTrackingRefBased/>
  <w15:docId w15:val="{C8C7DDE1-F0E4-4582-96F8-E5333DE00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8647C"/>
    <w:pPr>
      <w:autoSpaceDE w:val="0"/>
      <w:autoSpaceDN w:val="0"/>
      <w:spacing w:after="0" w:line="240" w:lineRule="auto"/>
    </w:pPr>
    <w:rPr>
      <w:rFonts w:ascii="Times New Roman" w:eastAsia="Times New Roman" w:hAnsi="Times New Roman" w:cs="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B5424"/>
    <w:pPr>
      <w:autoSpaceDE/>
      <w:autoSpaceDN/>
    </w:pPr>
    <w:rPr>
      <w:rFonts w:ascii="Segoe UI" w:eastAsiaTheme="minorHAnsi" w:hAnsi="Segoe UI" w:cs="Segoe UI"/>
      <w:sz w:val="18"/>
      <w:szCs w:val="18"/>
      <w:lang w:eastAsia="en-US"/>
    </w:rPr>
  </w:style>
  <w:style w:type="character" w:customStyle="1" w:styleId="a4">
    <w:name w:val="Текст выноски Знак"/>
    <w:basedOn w:val="a0"/>
    <w:link w:val="a3"/>
    <w:uiPriority w:val="99"/>
    <w:semiHidden/>
    <w:rsid w:val="00AB5424"/>
    <w:rPr>
      <w:rFonts w:ascii="Segoe UI" w:hAnsi="Segoe UI" w:cs="Segoe UI"/>
      <w:sz w:val="18"/>
      <w:szCs w:val="18"/>
    </w:rPr>
  </w:style>
  <w:style w:type="paragraph" w:styleId="a5">
    <w:name w:val="Normal (Web)"/>
    <w:aliases w:val="Обычный (Web),Звичайний (веб) Знак Знак,Обычный (Web)1,Обычный (Web)11,Обычный (веб) Знак,Знак1 Знак,Знак1 Знак Знак,Знак1 Знак Знак Знак Знак Знак Знак Знак,Знак1 Знак Знак Знак,Обычный (веб) Знак2,Обычный (веб) Знак1 Знак,‚Õÿ¬1 ‚Õÿ¬ ‚Õÿ¬"/>
    <w:basedOn w:val="a"/>
    <w:link w:val="1"/>
    <w:uiPriority w:val="99"/>
    <w:rsid w:val="00F8647C"/>
    <w:pPr>
      <w:autoSpaceDE/>
      <w:autoSpaceDN/>
      <w:spacing w:before="100" w:beforeAutospacing="1" w:after="100" w:afterAutospacing="1"/>
    </w:pPr>
    <w:rPr>
      <w:lang w:eastAsia="ru-RU"/>
    </w:rPr>
  </w:style>
  <w:style w:type="paragraph" w:customStyle="1" w:styleId="a6">
    <w:name w:val="Знак Знак Знак Знак Знак Знак Знак Знак Знак Знак Знак Знак Знак Знак Знак Знак Знак Знак"/>
    <w:basedOn w:val="a"/>
    <w:uiPriority w:val="99"/>
    <w:rsid w:val="00F8647C"/>
    <w:pPr>
      <w:autoSpaceDE/>
      <w:autoSpaceDN/>
    </w:pPr>
    <w:rPr>
      <w:rFonts w:ascii="Verdana" w:hAnsi="Verdana" w:cs="Verdana"/>
      <w:sz w:val="20"/>
      <w:szCs w:val="20"/>
      <w:lang w:val="en-US" w:eastAsia="en-US"/>
    </w:rPr>
  </w:style>
  <w:style w:type="character" w:customStyle="1" w:styleId="1">
    <w:name w:val="Обычный (веб) Знак1"/>
    <w:aliases w:val="Обычный (Web) Знак,Звичайний (веб) Знак Знак Знак,Обычный (Web)1 Знак,Обычный (Web)11 Знак,Обычный (веб) Знак Знак,Знак1 Знак Знак1,Знак1 Знак Знак Знак1,Знак1 Знак Знак Знак Знак Знак Знак Знак Знак,Знак1 Знак Знак Знак Знак"/>
    <w:link w:val="a5"/>
    <w:uiPriority w:val="99"/>
    <w:locked/>
    <w:rsid w:val="00F8647C"/>
    <w:rPr>
      <w:rFonts w:ascii="Times New Roman" w:eastAsia="Times New Roman" w:hAnsi="Times New Roman" w:cs="Times New Roman"/>
      <w:sz w:val="24"/>
      <w:szCs w:val="24"/>
      <w:lang w:eastAsia="ru-RU"/>
    </w:rPr>
  </w:style>
  <w:style w:type="character" w:styleId="a7">
    <w:name w:val="Hyperlink"/>
    <w:basedOn w:val="a0"/>
    <w:uiPriority w:val="99"/>
    <w:rsid w:val="00E446AD"/>
    <w:rPr>
      <w:rFonts w:cs="Times New Roman"/>
      <w:color w:val="333366"/>
      <w:u w:val="none"/>
      <w:effect w:val="none"/>
    </w:rPr>
  </w:style>
  <w:style w:type="character" w:styleId="a8">
    <w:name w:val="Strong"/>
    <w:basedOn w:val="a0"/>
    <w:uiPriority w:val="99"/>
    <w:qFormat/>
    <w:rsid w:val="00E446AD"/>
    <w:rPr>
      <w:rFonts w:cs="Times New Roman"/>
      <w:b/>
      <w:bCs/>
    </w:rPr>
  </w:style>
  <w:style w:type="character" w:customStyle="1" w:styleId="apple-converted-space">
    <w:name w:val="apple-converted-space"/>
    <w:basedOn w:val="a0"/>
    <w:uiPriority w:val="99"/>
    <w:rsid w:val="00E446AD"/>
    <w:rPr>
      <w:rFonts w:cs="Times New Roman"/>
    </w:rPr>
  </w:style>
  <w:style w:type="character" w:styleId="a9">
    <w:name w:val="Emphasis"/>
    <w:basedOn w:val="a0"/>
    <w:uiPriority w:val="99"/>
    <w:qFormat/>
    <w:rsid w:val="00035CB1"/>
    <w:rPr>
      <w:rFonts w:cs="Times New Roman"/>
      <w:i/>
      <w:iCs/>
    </w:rPr>
  </w:style>
  <w:style w:type="paragraph" w:customStyle="1" w:styleId="aa">
    <w:name w:val="a"/>
    <w:basedOn w:val="a"/>
    <w:uiPriority w:val="99"/>
    <w:rsid w:val="005963DD"/>
    <w:pPr>
      <w:autoSpaceDE/>
      <w:autoSpaceDN/>
      <w:spacing w:before="100" w:beforeAutospacing="1" w:after="100" w:afterAutospacing="1"/>
    </w:pPr>
    <w:rPr>
      <w:lang w:eastAsia="ru-RU"/>
    </w:rPr>
  </w:style>
  <w:style w:type="paragraph" w:customStyle="1" w:styleId="nospacing">
    <w:name w:val="nospacing"/>
    <w:basedOn w:val="a"/>
    <w:uiPriority w:val="99"/>
    <w:rsid w:val="00E629D1"/>
    <w:pPr>
      <w:autoSpaceDE/>
      <w:autoSpaceDN/>
      <w:spacing w:before="100" w:beforeAutospacing="1" w:after="100" w:afterAutospacing="1"/>
    </w:pPr>
    <w:rPr>
      <w:lang w:eastAsia="ru-RU"/>
    </w:rPr>
  </w:style>
  <w:style w:type="paragraph" w:styleId="ab">
    <w:name w:val="List Paragraph"/>
    <w:basedOn w:val="a"/>
    <w:uiPriority w:val="99"/>
    <w:qFormat/>
    <w:rsid w:val="00B526EC"/>
    <w:pPr>
      <w:autoSpaceDE/>
      <w:autoSpaceDN/>
      <w:spacing w:after="200" w:line="276" w:lineRule="auto"/>
      <w:ind w:left="720"/>
      <w:contextualSpacing/>
    </w:pPr>
    <w:rPr>
      <w:rFonts w:ascii="Calibri" w:hAnsi="Calibri"/>
      <w:sz w:val="22"/>
      <w:szCs w:val="22"/>
      <w:lang w:eastAsia="en-US"/>
    </w:rPr>
  </w:style>
  <w:style w:type="paragraph" w:customStyle="1" w:styleId="normalweb">
    <w:name w:val="normalweb"/>
    <w:basedOn w:val="a"/>
    <w:uiPriority w:val="99"/>
    <w:rsid w:val="0045796F"/>
    <w:pPr>
      <w:autoSpaceDE/>
      <w:autoSpaceDN/>
      <w:spacing w:before="100" w:beforeAutospacing="1" w:after="100" w:afterAutospacing="1"/>
    </w:pPr>
    <w:rPr>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0408678">
      <w:bodyDiv w:val="1"/>
      <w:marLeft w:val="0"/>
      <w:marRight w:val="0"/>
      <w:marTop w:val="0"/>
      <w:marBottom w:val="0"/>
      <w:divBdr>
        <w:top w:val="none" w:sz="0" w:space="0" w:color="auto"/>
        <w:left w:val="none" w:sz="0" w:space="0" w:color="auto"/>
        <w:bottom w:val="none" w:sz="0" w:space="0" w:color="auto"/>
        <w:right w:val="none" w:sz="0" w:space="0" w:color="auto"/>
      </w:divBdr>
      <w:divsChild>
        <w:div w:id="554974885">
          <w:marLeft w:val="0"/>
          <w:marRight w:val="0"/>
          <w:marTop w:val="0"/>
          <w:marBottom w:val="0"/>
          <w:divBdr>
            <w:top w:val="none" w:sz="0" w:space="0" w:color="auto"/>
            <w:left w:val="none" w:sz="0" w:space="0" w:color="auto"/>
            <w:bottom w:val="none" w:sz="0" w:space="0" w:color="auto"/>
            <w:right w:val="none" w:sz="0" w:space="0" w:color="auto"/>
          </w:divBdr>
        </w:div>
        <w:div w:id="873036859">
          <w:marLeft w:val="0"/>
          <w:marRight w:val="0"/>
          <w:marTop w:val="120"/>
          <w:marBottom w:val="0"/>
          <w:divBdr>
            <w:top w:val="none" w:sz="0" w:space="0" w:color="auto"/>
            <w:left w:val="none" w:sz="0" w:space="0" w:color="auto"/>
            <w:bottom w:val="none" w:sz="0" w:space="0" w:color="auto"/>
            <w:right w:val="none" w:sz="0" w:space="0" w:color="auto"/>
          </w:divBdr>
          <w:divsChild>
            <w:div w:id="1490248245">
              <w:marLeft w:val="0"/>
              <w:marRight w:val="0"/>
              <w:marTop w:val="0"/>
              <w:marBottom w:val="0"/>
              <w:divBdr>
                <w:top w:val="none" w:sz="0" w:space="0" w:color="auto"/>
                <w:left w:val="none" w:sz="0" w:space="0" w:color="auto"/>
                <w:bottom w:val="none" w:sz="0" w:space="0" w:color="auto"/>
                <w:right w:val="none" w:sz="0" w:space="0" w:color="auto"/>
              </w:divBdr>
            </w:div>
          </w:divsChild>
        </w:div>
        <w:div w:id="173154785">
          <w:marLeft w:val="0"/>
          <w:marRight w:val="0"/>
          <w:marTop w:val="120"/>
          <w:marBottom w:val="0"/>
          <w:divBdr>
            <w:top w:val="none" w:sz="0" w:space="0" w:color="auto"/>
            <w:left w:val="none" w:sz="0" w:space="0" w:color="auto"/>
            <w:bottom w:val="none" w:sz="0" w:space="0" w:color="auto"/>
            <w:right w:val="none" w:sz="0" w:space="0" w:color="auto"/>
          </w:divBdr>
          <w:divsChild>
            <w:div w:id="536814651">
              <w:marLeft w:val="0"/>
              <w:marRight w:val="0"/>
              <w:marTop w:val="0"/>
              <w:marBottom w:val="0"/>
              <w:divBdr>
                <w:top w:val="none" w:sz="0" w:space="0" w:color="auto"/>
                <w:left w:val="none" w:sz="0" w:space="0" w:color="auto"/>
                <w:bottom w:val="none" w:sz="0" w:space="0" w:color="auto"/>
                <w:right w:val="none" w:sz="0" w:space="0" w:color="auto"/>
              </w:divBdr>
            </w:div>
          </w:divsChild>
        </w:div>
        <w:div w:id="95559184">
          <w:marLeft w:val="0"/>
          <w:marRight w:val="0"/>
          <w:marTop w:val="120"/>
          <w:marBottom w:val="0"/>
          <w:divBdr>
            <w:top w:val="none" w:sz="0" w:space="0" w:color="auto"/>
            <w:left w:val="none" w:sz="0" w:space="0" w:color="auto"/>
            <w:bottom w:val="none" w:sz="0" w:space="0" w:color="auto"/>
            <w:right w:val="none" w:sz="0" w:space="0" w:color="auto"/>
          </w:divBdr>
          <w:divsChild>
            <w:div w:id="1399086954">
              <w:marLeft w:val="0"/>
              <w:marRight w:val="0"/>
              <w:marTop w:val="0"/>
              <w:marBottom w:val="0"/>
              <w:divBdr>
                <w:top w:val="none" w:sz="0" w:space="0" w:color="auto"/>
                <w:left w:val="none" w:sz="0" w:space="0" w:color="auto"/>
                <w:bottom w:val="none" w:sz="0" w:space="0" w:color="auto"/>
                <w:right w:val="none" w:sz="0" w:space="0" w:color="auto"/>
              </w:divBdr>
            </w:div>
          </w:divsChild>
        </w:div>
        <w:div w:id="289242346">
          <w:marLeft w:val="0"/>
          <w:marRight w:val="0"/>
          <w:marTop w:val="120"/>
          <w:marBottom w:val="0"/>
          <w:divBdr>
            <w:top w:val="none" w:sz="0" w:space="0" w:color="auto"/>
            <w:left w:val="none" w:sz="0" w:space="0" w:color="auto"/>
            <w:bottom w:val="none" w:sz="0" w:space="0" w:color="auto"/>
            <w:right w:val="none" w:sz="0" w:space="0" w:color="auto"/>
          </w:divBdr>
          <w:divsChild>
            <w:div w:id="1605650741">
              <w:marLeft w:val="0"/>
              <w:marRight w:val="0"/>
              <w:marTop w:val="0"/>
              <w:marBottom w:val="0"/>
              <w:divBdr>
                <w:top w:val="none" w:sz="0" w:space="0" w:color="auto"/>
                <w:left w:val="none" w:sz="0" w:space="0" w:color="auto"/>
                <w:bottom w:val="none" w:sz="0" w:space="0" w:color="auto"/>
                <w:right w:val="none" w:sz="0" w:space="0" w:color="auto"/>
              </w:divBdr>
            </w:div>
          </w:divsChild>
        </w:div>
        <w:div w:id="1048070634">
          <w:marLeft w:val="0"/>
          <w:marRight w:val="0"/>
          <w:marTop w:val="120"/>
          <w:marBottom w:val="0"/>
          <w:divBdr>
            <w:top w:val="none" w:sz="0" w:space="0" w:color="auto"/>
            <w:left w:val="none" w:sz="0" w:space="0" w:color="auto"/>
            <w:bottom w:val="none" w:sz="0" w:space="0" w:color="auto"/>
            <w:right w:val="none" w:sz="0" w:space="0" w:color="auto"/>
          </w:divBdr>
          <w:divsChild>
            <w:div w:id="1473450297">
              <w:marLeft w:val="0"/>
              <w:marRight w:val="0"/>
              <w:marTop w:val="0"/>
              <w:marBottom w:val="0"/>
              <w:divBdr>
                <w:top w:val="none" w:sz="0" w:space="0" w:color="auto"/>
                <w:left w:val="none" w:sz="0" w:space="0" w:color="auto"/>
                <w:bottom w:val="none" w:sz="0" w:space="0" w:color="auto"/>
                <w:right w:val="none" w:sz="0" w:space="0" w:color="auto"/>
              </w:divBdr>
            </w:div>
          </w:divsChild>
        </w:div>
        <w:div w:id="1280867842">
          <w:marLeft w:val="0"/>
          <w:marRight w:val="0"/>
          <w:marTop w:val="120"/>
          <w:marBottom w:val="0"/>
          <w:divBdr>
            <w:top w:val="none" w:sz="0" w:space="0" w:color="auto"/>
            <w:left w:val="none" w:sz="0" w:space="0" w:color="auto"/>
            <w:bottom w:val="none" w:sz="0" w:space="0" w:color="auto"/>
            <w:right w:val="none" w:sz="0" w:space="0" w:color="auto"/>
          </w:divBdr>
          <w:divsChild>
            <w:div w:id="1158157525">
              <w:marLeft w:val="0"/>
              <w:marRight w:val="0"/>
              <w:marTop w:val="0"/>
              <w:marBottom w:val="0"/>
              <w:divBdr>
                <w:top w:val="none" w:sz="0" w:space="0" w:color="auto"/>
                <w:left w:val="none" w:sz="0" w:space="0" w:color="auto"/>
                <w:bottom w:val="none" w:sz="0" w:space="0" w:color="auto"/>
                <w:right w:val="none" w:sz="0" w:space="0" w:color="auto"/>
              </w:divBdr>
            </w:div>
          </w:divsChild>
        </w:div>
        <w:div w:id="1492596861">
          <w:marLeft w:val="0"/>
          <w:marRight w:val="0"/>
          <w:marTop w:val="120"/>
          <w:marBottom w:val="0"/>
          <w:divBdr>
            <w:top w:val="none" w:sz="0" w:space="0" w:color="auto"/>
            <w:left w:val="none" w:sz="0" w:space="0" w:color="auto"/>
            <w:bottom w:val="none" w:sz="0" w:space="0" w:color="auto"/>
            <w:right w:val="none" w:sz="0" w:space="0" w:color="auto"/>
          </w:divBdr>
          <w:divsChild>
            <w:div w:id="1067802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6503384">
      <w:bodyDiv w:val="1"/>
      <w:marLeft w:val="0"/>
      <w:marRight w:val="0"/>
      <w:marTop w:val="0"/>
      <w:marBottom w:val="0"/>
      <w:divBdr>
        <w:top w:val="none" w:sz="0" w:space="0" w:color="auto"/>
        <w:left w:val="none" w:sz="0" w:space="0" w:color="auto"/>
        <w:bottom w:val="none" w:sz="0" w:space="0" w:color="auto"/>
        <w:right w:val="none" w:sz="0" w:space="0" w:color="auto"/>
      </w:divBdr>
      <w:divsChild>
        <w:div w:id="818770585">
          <w:marLeft w:val="0"/>
          <w:marRight w:val="0"/>
          <w:marTop w:val="0"/>
          <w:marBottom w:val="0"/>
          <w:divBdr>
            <w:top w:val="none" w:sz="0" w:space="0" w:color="auto"/>
            <w:left w:val="none" w:sz="0" w:space="0" w:color="auto"/>
            <w:bottom w:val="none" w:sz="0" w:space="0" w:color="auto"/>
            <w:right w:val="none" w:sz="0" w:space="0" w:color="auto"/>
          </w:divBdr>
        </w:div>
        <w:div w:id="1356539829">
          <w:marLeft w:val="0"/>
          <w:marRight w:val="0"/>
          <w:marTop w:val="120"/>
          <w:marBottom w:val="0"/>
          <w:divBdr>
            <w:top w:val="none" w:sz="0" w:space="0" w:color="auto"/>
            <w:left w:val="none" w:sz="0" w:space="0" w:color="auto"/>
            <w:bottom w:val="none" w:sz="0" w:space="0" w:color="auto"/>
            <w:right w:val="none" w:sz="0" w:space="0" w:color="auto"/>
          </w:divBdr>
          <w:divsChild>
            <w:div w:id="238751310">
              <w:marLeft w:val="0"/>
              <w:marRight w:val="0"/>
              <w:marTop w:val="0"/>
              <w:marBottom w:val="0"/>
              <w:divBdr>
                <w:top w:val="none" w:sz="0" w:space="0" w:color="auto"/>
                <w:left w:val="none" w:sz="0" w:space="0" w:color="auto"/>
                <w:bottom w:val="none" w:sz="0" w:space="0" w:color="auto"/>
                <w:right w:val="none" w:sz="0" w:space="0" w:color="auto"/>
              </w:divBdr>
            </w:div>
          </w:divsChild>
        </w:div>
        <w:div w:id="861673344">
          <w:marLeft w:val="0"/>
          <w:marRight w:val="0"/>
          <w:marTop w:val="120"/>
          <w:marBottom w:val="0"/>
          <w:divBdr>
            <w:top w:val="none" w:sz="0" w:space="0" w:color="auto"/>
            <w:left w:val="none" w:sz="0" w:space="0" w:color="auto"/>
            <w:bottom w:val="none" w:sz="0" w:space="0" w:color="auto"/>
            <w:right w:val="none" w:sz="0" w:space="0" w:color="auto"/>
          </w:divBdr>
          <w:divsChild>
            <w:div w:id="1843741268">
              <w:marLeft w:val="0"/>
              <w:marRight w:val="0"/>
              <w:marTop w:val="0"/>
              <w:marBottom w:val="0"/>
              <w:divBdr>
                <w:top w:val="none" w:sz="0" w:space="0" w:color="auto"/>
                <w:left w:val="none" w:sz="0" w:space="0" w:color="auto"/>
                <w:bottom w:val="none" w:sz="0" w:space="0" w:color="auto"/>
                <w:right w:val="none" w:sz="0" w:space="0" w:color="auto"/>
              </w:divBdr>
            </w:div>
          </w:divsChild>
        </w:div>
        <w:div w:id="675612375">
          <w:marLeft w:val="0"/>
          <w:marRight w:val="0"/>
          <w:marTop w:val="120"/>
          <w:marBottom w:val="0"/>
          <w:divBdr>
            <w:top w:val="none" w:sz="0" w:space="0" w:color="auto"/>
            <w:left w:val="none" w:sz="0" w:space="0" w:color="auto"/>
            <w:bottom w:val="none" w:sz="0" w:space="0" w:color="auto"/>
            <w:right w:val="none" w:sz="0" w:space="0" w:color="auto"/>
          </w:divBdr>
          <w:divsChild>
            <w:div w:id="466121614">
              <w:marLeft w:val="0"/>
              <w:marRight w:val="0"/>
              <w:marTop w:val="0"/>
              <w:marBottom w:val="0"/>
              <w:divBdr>
                <w:top w:val="none" w:sz="0" w:space="0" w:color="auto"/>
                <w:left w:val="none" w:sz="0" w:space="0" w:color="auto"/>
                <w:bottom w:val="none" w:sz="0" w:space="0" w:color="auto"/>
                <w:right w:val="none" w:sz="0" w:space="0" w:color="auto"/>
              </w:divBdr>
            </w:div>
          </w:divsChild>
        </w:div>
        <w:div w:id="1581060713">
          <w:marLeft w:val="0"/>
          <w:marRight w:val="0"/>
          <w:marTop w:val="120"/>
          <w:marBottom w:val="0"/>
          <w:divBdr>
            <w:top w:val="none" w:sz="0" w:space="0" w:color="auto"/>
            <w:left w:val="none" w:sz="0" w:space="0" w:color="auto"/>
            <w:bottom w:val="none" w:sz="0" w:space="0" w:color="auto"/>
            <w:right w:val="none" w:sz="0" w:space="0" w:color="auto"/>
          </w:divBdr>
          <w:divsChild>
            <w:div w:id="1612856060">
              <w:marLeft w:val="0"/>
              <w:marRight w:val="0"/>
              <w:marTop w:val="0"/>
              <w:marBottom w:val="0"/>
              <w:divBdr>
                <w:top w:val="none" w:sz="0" w:space="0" w:color="auto"/>
                <w:left w:val="none" w:sz="0" w:space="0" w:color="auto"/>
                <w:bottom w:val="none" w:sz="0" w:space="0" w:color="auto"/>
                <w:right w:val="none" w:sz="0" w:space="0" w:color="auto"/>
              </w:divBdr>
            </w:div>
          </w:divsChild>
        </w:div>
        <w:div w:id="397094288">
          <w:marLeft w:val="0"/>
          <w:marRight w:val="0"/>
          <w:marTop w:val="120"/>
          <w:marBottom w:val="0"/>
          <w:divBdr>
            <w:top w:val="none" w:sz="0" w:space="0" w:color="auto"/>
            <w:left w:val="none" w:sz="0" w:space="0" w:color="auto"/>
            <w:bottom w:val="none" w:sz="0" w:space="0" w:color="auto"/>
            <w:right w:val="none" w:sz="0" w:space="0" w:color="auto"/>
          </w:divBdr>
          <w:divsChild>
            <w:div w:id="1394037092">
              <w:marLeft w:val="0"/>
              <w:marRight w:val="0"/>
              <w:marTop w:val="0"/>
              <w:marBottom w:val="0"/>
              <w:divBdr>
                <w:top w:val="none" w:sz="0" w:space="0" w:color="auto"/>
                <w:left w:val="none" w:sz="0" w:space="0" w:color="auto"/>
                <w:bottom w:val="none" w:sz="0" w:space="0" w:color="auto"/>
                <w:right w:val="none" w:sz="0" w:space="0" w:color="auto"/>
              </w:divBdr>
            </w:div>
          </w:divsChild>
        </w:div>
        <w:div w:id="709568894">
          <w:marLeft w:val="0"/>
          <w:marRight w:val="0"/>
          <w:marTop w:val="120"/>
          <w:marBottom w:val="0"/>
          <w:divBdr>
            <w:top w:val="none" w:sz="0" w:space="0" w:color="auto"/>
            <w:left w:val="none" w:sz="0" w:space="0" w:color="auto"/>
            <w:bottom w:val="none" w:sz="0" w:space="0" w:color="auto"/>
            <w:right w:val="none" w:sz="0" w:space="0" w:color="auto"/>
          </w:divBdr>
          <w:divsChild>
            <w:div w:id="121390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cabinet.tax.gov.ua/"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386</TotalTime>
  <Pages>2</Pages>
  <Words>965</Words>
  <Characters>5506</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Надежда</dc:creator>
  <cp:keywords/>
  <dc:description/>
  <cp:lastModifiedBy>Надежда</cp:lastModifiedBy>
  <cp:revision>47</cp:revision>
  <cp:lastPrinted>2020-10-16T10:54:00Z</cp:lastPrinted>
  <dcterms:created xsi:type="dcterms:W3CDTF">2020-10-16T10:54:00Z</dcterms:created>
  <dcterms:modified xsi:type="dcterms:W3CDTF">2020-12-18T12:21:00Z</dcterms:modified>
</cp:coreProperties>
</file>