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30" w:rsidRPr="002847AB" w:rsidRDefault="00ED5230" w:rsidP="00ED5230">
      <w:pPr>
        <w:pStyle w:val="a3"/>
        <w:shd w:val="clear" w:color="auto" w:fill="FFFFFF"/>
        <w:spacing w:before="0" w:beforeAutospacing="0" w:after="0" w:afterAutospacing="0"/>
        <w:ind w:firstLine="709"/>
        <w:jc w:val="both"/>
        <w:rPr>
          <w:sz w:val="22"/>
          <w:szCs w:val="22"/>
          <w:lang w:val="uk-UA"/>
        </w:rPr>
      </w:pPr>
      <w:proofErr w:type="spellStart"/>
      <w:r>
        <w:rPr>
          <w:sz w:val="22"/>
          <w:szCs w:val="22"/>
          <w:lang w:val="uk-UA"/>
        </w:rPr>
        <w:t>Старобільське</w:t>
      </w:r>
      <w:proofErr w:type="spellEnd"/>
      <w:r>
        <w:rPr>
          <w:sz w:val="22"/>
          <w:szCs w:val="22"/>
          <w:lang w:val="uk-UA"/>
        </w:rPr>
        <w:t xml:space="preserve"> управління </w:t>
      </w:r>
      <w:r w:rsidRPr="002847AB">
        <w:rPr>
          <w:sz w:val="22"/>
          <w:szCs w:val="22"/>
          <w:lang w:val="uk-UA"/>
        </w:rPr>
        <w:t>Головне управління ДПС у Луганській області повідомляє про окремі зміни, які відбулися у частині оподаткування ПДВ у зв’язку із набранням чинності Законами України від 05 грудня 2019 року № 344-ІХ «Про внесення змін до Податкового кодексу України щодо створення сприятливих умов для діяльності підприємств та організацій, заснованих громадськими об’єднаннями осіб з інвалідністю» (далі – Закон № 344) і від 20 грудня 2019 року № 425-ІХ «Про внесення змін до Податкового кодексу України у зв’язку із вдосконаленням процедури проведення фінансової реструктуризації та щодо вдосконалення оподаткування операцій фінансового лізингу» (далі – Закон № 425).</w:t>
      </w:r>
    </w:p>
    <w:p w:rsidR="00ED5230" w:rsidRPr="002847AB" w:rsidRDefault="00ED5230" w:rsidP="00ED5230">
      <w:pPr>
        <w:pStyle w:val="a3"/>
        <w:shd w:val="clear" w:color="auto" w:fill="FFFFFF"/>
        <w:spacing w:before="0" w:beforeAutospacing="0" w:after="0" w:afterAutospacing="0"/>
        <w:ind w:firstLine="709"/>
        <w:jc w:val="both"/>
        <w:rPr>
          <w:sz w:val="22"/>
          <w:szCs w:val="22"/>
          <w:lang w:val="uk-UA"/>
        </w:rPr>
      </w:pPr>
      <w:r w:rsidRPr="002847AB">
        <w:rPr>
          <w:sz w:val="22"/>
          <w:szCs w:val="22"/>
          <w:lang w:val="uk-UA"/>
        </w:rPr>
        <w:t xml:space="preserve">Зокрема Законом № 344 </w:t>
      </w:r>
      <w:proofErr w:type="spellStart"/>
      <w:r w:rsidRPr="002847AB">
        <w:rPr>
          <w:sz w:val="22"/>
          <w:szCs w:val="22"/>
          <w:lang w:val="uk-UA"/>
        </w:rPr>
        <w:t>внесено</w:t>
      </w:r>
      <w:proofErr w:type="spellEnd"/>
      <w:r w:rsidRPr="002847AB">
        <w:rPr>
          <w:sz w:val="22"/>
          <w:szCs w:val="22"/>
          <w:lang w:val="uk-UA"/>
        </w:rPr>
        <w:t xml:space="preserve"> зміни до пункту 8 підрозділу 2 розділу ХХ Податкового кодексу України (далі - ПКУ), а саме підприємствам та організаціям громадських об’єднань осіб з інвалідністю до 01.01.2025 подовжили право на застосування нульової ставки ПДВ до операцій з постачання товарів/послуг, місцем постачання яких згідно зі статтею 186 розділу </w:t>
      </w:r>
      <w:r w:rsidRPr="002847AB">
        <w:rPr>
          <w:sz w:val="22"/>
          <w:szCs w:val="22"/>
          <w:lang w:val="en-US"/>
        </w:rPr>
        <w:t>V</w:t>
      </w:r>
      <w:r w:rsidRPr="002847AB">
        <w:rPr>
          <w:sz w:val="22"/>
          <w:szCs w:val="22"/>
          <w:lang w:val="uk-UA"/>
        </w:rPr>
        <w:t xml:space="preserve"> ПКУ визначено митну територію України, за умови відповідності критеріям, визначеним у пункті 8 підрозділу 2 розділу ХХ ПКУ.</w:t>
      </w:r>
    </w:p>
    <w:p w:rsidR="00ED5230" w:rsidRPr="002847AB" w:rsidRDefault="00ED5230" w:rsidP="00ED5230">
      <w:pPr>
        <w:pStyle w:val="a3"/>
        <w:shd w:val="clear" w:color="auto" w:fill="FFFFFF"/>
        <w:spacing w:before="0" w:beforeAutospacing="0" w:after="0" w:afterAutospacing="0"/>
        <w:ind w:firstLine="709"/>
        <w:jc w:val="both"/>
        <w:rPr>
          <w:sz w:val="22"/>
          <w:szCs w:val="22"/>
          <w:lang w:val="uk-UA"/>
        </w:rPr>
      </w:pPr>
      <w:r w:rsidRPr="002847AB">
        <w:rPr>
          <w:sz w:val="22"/>
          <w:szCs w:val="22"/>
          <w:lang w:val="uk-UA"/>
        </w:rPr>
        <w:t xml:space="preserve">Законом № 425 </w:t>
      </w:r>
      <w:proofErr w:type="spellStart"/>
      <w:r w:rsidRPr="002847AB">
        <w:rPr>
          <w:sz w:val="22"/>
          <w:szCs w:val="22"/>
          <w:lang w:val="uk-UA"/>
        </w:rPr>
        <w:t>внесено</w:t>
      </w:r>
      <w:proofErr w:type="spellEnd"/>
      <w:r w:rsidRPr="002847AB">
        <w:rPr>
          <w:sz w:val="22"/>
          <w:szCs w:val="22"/>
          <w:lang w:val="uk-UA"/>
        </w:rPr>
        <w:t xml:space="preserve"> зміни до пункту 46 підрозділу 2 розділу ХХ ПКУ в частині продовження до 01.01.2023 дії пільгового режиму оподаткування ПДВ для операцій платників податку – боржника та/або поручителя (майнового поручителя – </w:t>
      </w:r>
      <w:proofErr w:type="spellStart"/>
      <w:r w:rsidRPr="002847AB">
        <w:rPr>
          <w:sz w:val="22"/>
          <w:szCs w:val="22"/>
          <w:lang w:val="uk-UA"/>
        </w:rPr>
        <w:t>заставодавця</w:t>
      </w:r>
      <w:proofErr w:type="spellEnd"/>
      <w:r w:rsidRPr="002847AB">
        <w:rPr>
          <w:sz w:val="22"/>
          <w:szCs w:val="22"/>
          <w:lang w:val="uk-UA"/>
        </w:rPr>
        <w:t xml:space="preserve">, </w:t>
      </w:r>
      <w:proofErr w:type="spellStart"/>
      <w:r w:rsidRPr="002847AB">
        <w:rPr>
          <w:sz w:val="22"/>
          <w:szCs w:val="22"/>
          <w:lang w:val="uk-UA"/>
        </w:rPr>
        <w:t>іпотекодавця</w:t>
      </w:r>
      <w:proofErr w:type="spellEnd"/>
      <w:r w:rsidRPr="002847AB">
        <w:rPr>
          <w:sz w:val="22"/>
          <w:szCs w:val="22"/>
          <w:lang w:val="uk-UA"/>
        </w:rPr>
        <w:t>) з постачання товарів для цілей погашення заборгованості боржника перед кредиторами відповідно до плану реструктуризації.</w:t>
      </w:r>
    </w:p>
    <w:p w:rsidR="00ED5230" w:rsidRPr="00ED5230" w:rsidRDefault="00ED5230" w:rsidP="00ED5230">
      <w:pPr>
        <w:pStyle w:val="a3"/>
        <w:spacing w:before="120" w:beforeAutospacing="0" w:after="120" w:afterAutospacing="0"/>
        <w:ind w:firstLine="540"/>
        <w:jc w:val="both"/>
        <w:rPr>
          <w:rStyle w:val="a4"/>
          <w:color w:val="000000"/>
          <w:sz w:val="22"/>
          <w:szCs w:val="22"/>
          <w:lang w:val="uk-UA"/>
        </w:rPr>
      </w:pPr>
      <w:r w:rsidRPr="002847AB">
        <w:rPr>
          <w:sz w:val="22"/>
          <w:szCs w:val="22"/>
          <w:lang w:val="uk-UA"/>
        </w:rPr>
        <w:t xml:space="preserve">Крім того, Законом № 425 змінено редакцію пункту 189.5 статті 189 розділу </w:t>
      </w:r>
      <w:r w:rsidRPr="002847AB">
        <w:rPr>
          <w:sz w:val="22"/>
          <w:szCs w:val="22"/>
          <w:lang w:val="en-US"/>
        </w:rPr>
        <w:t>V</w:t>
      </w:r>
      <w:r w:rsidRPr="002847AB">
        <w:rPr>
          <w:sz w:val="22"/>
          <w:szCs w:val="22"/>
          <w:lang w:val="uk-UA"/>
        </w:rPr>
        <w:t xml:space="preserve"> ПКУ у частині визначення бази оподаткування ПДВ при здійсненні операцій з постачання товарів, які були повернуті </w:t>
      </w:r>
      <w:proofErr w:type="spellStart"/>
      <w:r w:rsidRPr="002847AB">
        <w:rPr>
          <w:sz w:val="22"/>
          <w:szCs w:val="22"/>
          <w:lang w:val="uk-UA"/>
        </w:rPr>
        <w:t>лізингоодержувачем</w:t>
      </w:r>
      <w:proofErr w:type="spellEnd"/>
      <w:r w:rsidRPr="002847AB">
        <w:rPr>
          <w:sz w:val="22"/>
          <w:szCs w:val="22"/>
          <w:lang w:val="uk-UA"/>
        </w:rPr>
        <w:t xml:space="preserve"> лізингодавцю за договором фінансового лізингу</w:t>
      </w:r>
    </w:p>
    <w:p w:rsidR="00ED5230" w:rsidRPr="007239BE" w:rsidRDefault="00ED5230" w:rsidP="00ED5230">
      <w:pPr>
        <w:pStyle w:val="a3"/>
        <w:spacing w:before="120" w:beforeAutospacing="0" w:after="120" w:afterAutospacing="0"/>
        <w:ind w:firstLine="6660"/>
        <w:jc w:val="both"/>
        <w:rPr>
          <w:b/>
          <w:color w:val="000000"/>
          <w:sz w:val="22"/>
          <w:szCs w:val="22"/>
          <w:lang w:val="uk-UA"/>
        </w:rPr>
      </w:pPr>
      <w:proofErr w:type="spellStart"/>
      <w:r w:rsidRPr="007239BE">
        <w:rPr>
          <w:b/>
          <w:color w:val="000000"/>
          <w:sz w:val="22"/>
          <w:szCs w:val="22"/>
          <w:lang w:val="uk-UA"/>
        </w:rPr>
        <w:t>Старобільське</w:t>
      </w:r>
      <w:proofErr w:type="spellEnd"/>
      <w:r w:rsidRPr="007239BE">
        <w:rPr>
          <w:b/>
          <w:color w:val="000000"/>
          <w:sz w:val="22"/>
          <w:szCs w:val="22"/>
          <w:lang w:val="uk-UA"/>
        </w:rPr>
        <w:t xml:space="preserve"> управління</w:t>
      </w:r>
    </w:p>
    <w:p w:rsidR="009B1667" w:rsidRDefault="009B1667">
      <w:bookmarkStart w:id="0" w:name="_GoBack"/>
      <w:bookmarkEnd w:id="0"/>
    </w:p>
    <w:sectPr w:rsidR="009B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479DF"/>
    <w:multiLevelType w:val="multilevel"/>
    <w:tmpl w:val="8B2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1EBC"/>
    <w:multiLevelType w:val="multilevel"/>
    <w:tmpl w:val="9CF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04069B"/>
    <w:rsid w:val="000E5BCC"/>
    <w:rsid w:val="00296205"/>
    <w:rsid w:val="002F5A26"/>
    <w:rsid w:val="00383C4F"/>
    <w:rsid w:val="0048475C"/>
    <w:rsid w:val="004D0746"/>
    <w:rsid w:val="005F259C"/>
    <w:rsid w:val="0066061C"/>
    <w:rsid w:val="006E3BF2"/>
    <w:rsid w:val="007670A7"/>
    <w:rsid w:val="008605AF"/>
    <w:rsid w:val="009B1667"/>
    <w:rsid w:val="00A47F82"/>
    <w:rsid w:val="00AB04DE"/>
    <w:rsid w:val="00D96EF0"/>
    <w:rsid w:val="00EA7E91"/>
    <w:rsid w:val="00ED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2000"/>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67"/>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383C4F"/>
    <w:pPr>
      <w:autoSpaceDE/>
      <w:autoSpaceDN/>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383C4F"/>
    <w:pPr>
      <w:autoSpaceDE/>
      <w:autoSpaceDN/>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unhideWhenUsed/>
    <w:rsid w:val="00383C4F"/>
    <w:pPr>
      <w:autoSpaceDE/>
      <w:autoSpaceDN/>
      <w:spacing w:before="100" w:beforeAutospacing="1" w:after="100" w:afterAutospacing="1"/>
    </w:pPr>
    <w:rPr>
      <w:lang w:eastAsia="ru-RU"/>
    </w:rPr>
  </w:style>
  <w:style w:type="character" w:styleId="a4">
    <w:name w:val="Strong"/>
    <w:basedOn w:val="a0"/>
    <w:uiPriority w:val="99"/>
    <w:qFormat/>
    <w:rsid w:val="00383C4F"/>
    <w:rPr>
      <w:b/>
      <w:bCs/>
    </w:rPr>
  </w:style>
  <w:style w:type="character" w:styleId="a5">
    <w:name w:val="Hyperlink"/>
    <w:basedOn w:val="a0"/>
    <w:uiPriority w:val="99"/>
    <w:semiHidden/>
    <w:unhideWhenUsed/>
    <w:rsid w:val="004D0746"/>
    <w:rPr>
      <w:color w:val="0000FF"/>
      <w:u w:val="single"/>
    </w:rPr>
  </w:style>
  <w:style w:type="paragraph" w:customStyle="1" w:styleId="a6">
    <w:name w:val="Знак Знак Знак Знак Знак Знак Знак Знак Знак Знак Знак Знак Знак Знак Знак Знак Знак Знак"/>
    <w:basedOn w:val="a"/>
    <w:uiPriority w:val="99"/>
    <w:rsid w:val="009B166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B1667"/>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96E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476000391">
      <w:bodyDiv w:val="1"/>
      <w:marLeft w:val="0"/>
      <w:marRight w:val="0"/>
      <w:marTop w:val="0"/>
      <w:marBottom w:val="0"/>
      <w:divBdr>
        <w:top w:val="none" w:sz="0" w:space="0" w:color="auto"/>
        <w:left w:val="none" w:sz="0" w:space="0" w:color="auto"/>
        <w:bottom w:val="none" w:sz="0" w:space="0" w:color="auto"/>
        <w:right w:val="none" w:sz="0" w:space="0" w:color="auto"/>
      </w:divBdr>
      <w:divsChild>
        <w:div w:id="787356263">
          <w:marLeft w:val="0"/>
          <w:marRight w:val="0"/>
          <w:marTop w:val="0"/>
          <w:marBottom w:val="0"/>
          <w:divBdr>
            <w:top w:val="none" w:sz="0" w:space="0" w:color="auto"/>
            <w:left w:val="none" w:sz="0" w:space="0" w:color="auto"/>
            <w:bottom w:val="none" w:sz="0" w:space="0" w:color="auto"/>
            <w:right w:val="none" w:sz="0" w:space="0" w:color="auto"/>
          </w:divBdr>
        </w:div>
        <w:div w:id="2125686665">
          <w:marLeft w:val="0"/>
          <w:marRight w:val="0"/>
          <w:marTop w:val="0"/>
          <w:marBottom w:val="0"/>
          <w:divBdr>
            <w:top w:val="none" w:sz="0" w:space="0" w:color="auto"/>
            <w:left w:val="none" w:sz="0" w:space="0" w:color="auto"/>
            <w:bottom w:val="none" w:sz="0" w:space="0" w:color="auto"/>
            <w:right w:val="none" w:sz="0" w:space="0" w:color="auto"/>
          </w:divBdr>
        </w:div>
      </w:divsChild>
    </w:div>
    <w:div w:id="141840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23087">
          <w:marLeft w:val="0"/>
          <w:marRight w:val="0"/>
          <w:marTop w:val="0"/>
          <w:marBottom w:val="0"/>
          <w:divBdr>
            <w:top w:val="none" w:sz="0" w:space="0" w:color="auto"/>
            <w:left w:val="none" w:sz="0" w:space="0" w:color="auto"/>
            <w:bottom w:val="none" w:sz="0" w:space="0" w:color="auto"/>
            <w:right w:val="none" w:sz="0" w:space="0" w:color="auto"/>
          </w:divBdr>
        </w:div>
        <w:div w:id="1310282476">
          <w:marLeft w:val="0"/>
          <w:marRight w:val="0"/>
          <w:marTop w:val="0"/>
          <w:marBottom w:val="0"/>
          <w:divBdr>
            <w:top w:val="none" w:sz="0" w:space="0" w:color="auto"/>
            <w:left w:val="none" w:sz="0" w:space="0" w:color="auto"/>
            <w:bottom w:val="none" w:sz="0" w:space="0" w:color="auto"/>
            <w:right w:val="none" w:sz="0" w:space="0" w:color="auto"/>
          </w:divBdr>
        </w:div>
      </w:divsChild>
    </w:div>
    <w:div w:id="1495297226">
      <w:bodyDiv w:val="1"/>
      <w:marLeft w:val="0"/>
      <w:marRight w:val="0"/>
      <w:marTop w:val="0"/>
      <w:marBottom w:val="0"/>
      <w:divBdr>
        <w:top w:val="none" w:sz="0" w:space="0" w:color="auto"/>
        <w:left w:val="none" w:sz="0" w:space="0" w:color="auto"/>
        <w:bottom w:val="none" w:sz="0" w:space="0" w:color="auto"/>
        <w:right w:val="none" w:sz="0" w:space="0" w:color="auto"/>
      </w:divBdr>
    </w:div>
    <w:div w:id="1832136937">
      <w:bodyDiv w:val="1"/>
      <w:marLeft w:val="0"/>
      <w:marRight w:val="0"/>
      <w:marTop w:val="0"/>
      <w:marBottom w:val="0"/>
      <w:divBdr>
        <w:top w:val="none" w:sz="0" w:space="0" w:color="auto"/>
        <w:left w:val="none" w:sz="0" w:space="0" w:color="auto"/>
        <w:bottom w:val="none" w:sz="0" w:space="0" w:color="auto"/>
        <w:right w:val="none" w:sz="0" w:space="0" w:color="auto"/>
      </w:divBdr>
    </w:div>
    <w:div w:id="187866563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94">
          <w:marLeft w:val="0"/>
          <w:marRight w:val="0"/>
          <w:marTop w:val="0"/>
          <w:marBottom w:val="0"/>
          <w:divBdr>
            <w:top w:val="none" w:sz="0" w:space="0" w:color="auto"/>
            <w:left w:val="none" w:sz="0" w:space="0" w:color="auto"/>
            <w:bottom w:val="none" w:sz="0" w:space="0" w:color="auto"/>
            <w:right w:val="none" w:sz="0" w:space="0" w:color="auto"/>
          </w:divBdr>
        </w:div>
        <w:div w:id="2076276654">
          <w:marLeft w:val="0"/>
          <w:marRight w:val="0"/>
          <w:marTop w:val="0"/>
          <w:marBottom w:val="0"/>
          <w:divBdr>
            <w:top w:val="none" w:sz="0" w:space="0" w:color="auto"/>
            <w:left w:val="none" w:sz="0" w:space="0" w:color="auto"/>
            <w:bottom w:val="none" w:sz="0" w:space="0" w:color="auto"/>
            <w:right w:val="none" w:sz="0" w:space="0" w:color="auto"/>
          </w:divBdr>
        </w:div>
      </w:divsChild>
    </w:div>
    <w:div w:id="2084796633">
      <w:bodyDiv w:val="1"/>
      <w:marLeft w:val="0"/>
      <w:marRight w:val="0"/>
      <w:marTop w:val="0"/>
      <w:marBottom w:val="0"/>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 w:id="1129009414">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270</Words>
  <Characters>1543</Characters>
  <Application>Microsoft Office Word</Application>
  <DocSecurity>0</DocSecurity>
  <Lines>12</Lines>
  <Paragraphs>3</Paragraphs>
  <ScaleCrop>false</ScaleCrop>
  <Company>SPecialiST RePack</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17</cp:revision>
  <dcterms:created xsi:type="dcterms:W3CDTF">2020-01-31T11:22:00Z</dcterms:created>
  <dcterms:modified xsi:type="dcterms:W3CDTF">2020-02-03T11:24:00Z</dcterms:modified>
</cp:coreProperties>
</file>