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57" w:rsidRDefault="00275457" w:rsidP="00275457">
      <w:pPr>
        <w:jc w:val="center"/>
        <w:rPr>
          <w:b/>
          <w:color w:val="000000"/>
          <w:sz w:val="28"/>
          <w:szCs w:val="28"/>
          <w:lang w:val="uk-UA"/>
        </w:rPr>
      </w:pPr>
      <w:r>
        <w:rPr>
          <w:b/>
          <w:color w:val="000000"/>
          <w:lang w:val="uk-UA"/>
        </w:rPr>
        <w:t>Розгляд повідомлень про корупцію від викривачів</w:t>
      </w:r>
    </w:p>
    <w:p w:rsidR="00275457" w:rsidRPr="000F4E32" w:rsidRDefault="00275457" w:rsidP="00275457">
      <w:pPr>
        <w:jc w:val="both"/>
        <w:rPr>
          <w:color w:val="000000"/>
          <w:sz w:val="22"/>
          <w:szCs w:val="22"/>
          <w:lang w:val="uk-UA"/>
        </w:rPr>
      </w:pPr>
    </w:p>
    <w:p w:rsidR="00275457" w:rsidRPr="000F4E32" w:rsidRDefault="00275457" w:rsidP="00275457">
      <w:pPr>
        <w:ind w:firstLine="709"/>
        <w:jc w:val="both"/>
        <w:rPr>
          <w:color w:val="000000"/>
          <w:sz w:val="22"/>
          <w:szCs w:val="22"/>
          <w:lang w:val="uk-UA"/>
        </w:rPr>
      </w:pPr>
      <w:r w:rsidRPr="000F4E32">
        <w:rPr>
          <w:color w:val="000000"/>
          <w:sz w:val="22"/>
          <w:szCs w:val="22"/>
          <w:lang w:val="uk-UA"/>
        </w:rPr>
        <w:t>З метою здійснення контролю за дотриманням антикорупційного законодавства, виявлення фактів, що можуть свідчити про вчинення корупційних або пов’язаних з корупцією правопорушень посадовими чи службовими особами ГУ ДПС у Луганській області відділ з питань запобігання та виявлення корупції ГУ ДПС у Луганській області здійснює розгляд повідомлень про корупцію отриманих від викривачів.</w:t>
      </w:r>
    </w:p>
    <w:p w:rsidR="00275457" w:rsidRPr="000F4E32" w:rsidRDefault="00275457" w:rsidP="00275457">
      <w:pPr>
        <w:ind w:firstLine="709"/>
        <w:jc w:val="both"/>
        <w:rPr>
          <w:color w:val="000000"/>
          <w:sz w:val="22"/>
          <w:szCs w:val="22"/>
          <w:lang w:val="uk-UA"/>
        </w:rPr>
      </w:pPr>
      <w:r w:rsidRPr="000F4E32">
        <w:rPr>
          <w:color w:val="000000"/>
          <w:sz w:val="22"/>
          <w:szCs w:val="22"/>
          <w:lang w:val="uk-UA"/>
        </w:rPr>
        <w:t xml:space="preserve">Відповідно до Закону України «Про запобігання корупції» </w:t>
      </w:r>
      <w:r w:rsidRPr="000F4E32">
        <w:rPr>
          <w:b/>
          <w:color w:val="000000"/>
          <w:sz w:val="22"/>
          <w:szCs w:val="22"/>
          <w:lang w:val="uk-UA"/>
        </w:rPr>
        <w:t xml:space="preserve">викривач </w:t>
      </w:r>
      <w:r w:rsidRPr="000F4E32">
        <w:rPr>
          <w:color w:val="000000"/>
          <w:sz w:val="22"/>
          <w:szCs w:val="22"/>
          <w:lang w:val="uk-UA"/>
        </w:rPr>
        <w:t>– це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цього Закону, вчинених іншою особою, якщо така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w:t>
      </w:r>
    </w:p>
    <w:p w:rsidR="00275457" w:rsidRPr="000F4E32" w:rsidRDefault="00275457" w:rsidP="00275457">
      <w:pPr>
        <w:ind w:firstLine="709"/>
        <w:jc w:val="both"/>
        <w:rPr>
          <w:color w:val="000000"/>
          <w:sz w:val="22"/>
          <w:szCs w:val="22"/>
          <w:lang w:val="uk-UA"/>
        </w:rPr>
      </w:pPr>
      <w:r w:rsidRPr="000F4E32">
        <w:rPr>
          <w:color w:val="000000"/>
          <w:sz w:val="22"/>
          <w:szCs w:val="22"/>
          <w:lang w:val="uk-UA"/>
        </w:rPr>
        <w:t>Наказом Державної податкової служби України від 27.02.2020 №108 затверджено Порядок організації роботи з повідомленнями про корупцію, внесеними викривачами, в органах Державної податкової служби.</w:t>
      </w:r>
    </w:p>
    <w:p w:rsidR="00275457" w:rsidRPr="000F4E32" w:rsidRDefault="00275457" w:rsidP="00275457">
      <w:pPr>
        <w:ind w:firstLine="709"/>
        <w:jc w:val="both"/>
        <w:rPr>
          <w:color w:val="000000"/>
          <w:sz w:val="22"/>
          <w:szCs w:val="22"/>
          <w:lang w:val="uk-UA"/>
        </w:rPr>
      </w:pPr>
      <w:r w:rsidRPr="000F4E32">
        <w:rPr>
          <w:b/>
          <w:color w:val="000000"/>
          <w:sz w:val="22"/>
          <w:szCs w:val="22"/>
          <w:lang w:val="uk-UA"/>
        </w:rPr>
        <w:t xml:space="preserve">Повідомлення про корупцію </w:t>
      </w:r>
      <w:r w:rsidRPr="000F4E32">
        <w:rPr>
          <w:color w:val="000000"/>
          <w:sz w:val="22"/>
          <w:szCs w:val="22"/>
          <w:lang w:val="uk-UA"/>
        </w:rPr>
        <w:t>– це повідомлення особи, що містить фактичні дані, що підтверджують можливе вчинення працівником (працівниками) органів ДПС, іншими суб'єктами (особами), на яких поширюється дія вимог Закону України "Про запобігання корупції", корупційного або пов'язаного з корупцією правопорушення, іншого порушення цього Закону, які можуть бути перевірені.</w:t>
      </w:r>
    </w:p>
    <w:p w:rsidR="00275457" w:rsidRPr="000F4E32" w:rsidRDefault="00275457" w:rsidP="00275457">
      <w:pPr>
        <w:pStyle w:val="a3"/>
        <w:spacing w:before="0" w:beforeAutospacing="0" w:after="0" w:afterAutospacing="0"/>
        <w:ind w:firstLine="709"/>
        <w:jc w:val="both"/>
        <w:rPr>
          <w:b/>
          <w:color w:val="000000"/>
          <w:sz w:val="22"/>
          <w:szCs w:val="22"/>
          <w:lang w:val="uk-UA" w:eastAsia="uk-UA"/>
        </w:rPr>
      </w:pPr>
      <w:r w:rsidRPr="000F4E32">
        <w:rPr>
          <w:b/>
          <w:color w:val="000000"/>
          <w:sz w:val="22"/>
          <w:szCs w:val="22"/>
          <w:lang w:val="uk-UA" w:eastAsia="uk-UA"/>
        </w:rPr>
        <w:t>Реквізитами повідомлення про корупцію можуть бути:</w:t>
      </w:r>
    </w:p>
    <w:p w:rsidR="00275457" w:rsidRPr="000F4E32" w:rsidRDefault="00275457" w:rsidP="00275457">
      <w:pPr>
        <w:pStyle w:val="a3"/>
        <w:numPr>
          <w:ilvl w:val="0"/>
          <w:numId w:val="1"/>
        </w:numPr>
        <w:spacing w:before="0" w:beforeAutospacing="0" w:after="0" w:afterAutospacing="0"/>
        <w:ind w:left="0" w:firstLine="567"/>
        <w:jc w:val="both"/>
        <w:rPr>
          <w:color w:val="000000"/>
          <w:sz w:val="22"/>
          <w:szCs w:val="22"/>
          <w:lang w:val="uk-UA" w:eastAsia="uk-UA"/>
        </w:rPr>
      </w:pPr>
      <w:r w:rsidRPr="000F4E32">
        <w:rPr>
          <w:color w:val="000000"/>
          <w:sz w:val="22"/>
          <w:szCs w:val="22"/>
          <w:lang w:val="uk-UA" w:eastAsia="uk-UA"/>
        </w:rPr>
        <w:t>прізвище, ім'я, по батькові особи, яка, ймовірно, вчинила правопорушення або причетна до його вчинення, її місце роботи та посада;</w:t>
      </w:r>
    </w:p>
    <w:p w:rsidR="00275457" w:rsidRPr="000F4E32" w:rsidRDefault="00275457" w:rsidP="00275457">
      <w:pPr>
        <w:pStyle w:val="a3"/>
        <w:numPr>
          <w:ilvl w:val="0"/>
          <w:numId w:val="1"/>
        </w:numPr>
        <w:spacing w:before="0" w:beforeAutospacing="0" w:after="0" w:afterAutospacing="0"/>
        <w:ind w:left="0" w:firstLine="567"/>
        <w:jc w:val="both"/>
        <w:rPr>
          <w:color w:val="000000"/>
          <w:sz w:val="22"/>
          <w:szCs w:val="22"/>
          <w:lang w:val="uk-UA" w:eastAsia="uk-UA"/>
        </w:rPr>
      </w:pPr>
      <w:r w:rsidRPr="000F4E32">
        <w:rPr>
          <w:color w:val="000000"/>
          <w:sz w:val="22"/>
          <w:szCs w:val="22"/>
          <w:lang w:val="uk-UA" w:eastAsia="uk-UA"/>
        </w:rPr>
        <w:t>текст повідомлення, що містить конкретну інформацію про факти вчинення корупційного або пов'язаного з корупцією правопорушення, іншого порушення вимог Закону України "Про запобігання корупції", яка може бути перевірена та не містить припущень або опосередкованих висновків;</w:t>
      </w:r>
    </w:p>
    <w:p w:rsidR="00275457" w:rsidRPr="000F4E32" w:rsidRDefault="00275457" w:rsidP="00275457">
      <w:pPr>
        <w:pStyle w:val="a3"/>
        <w:numPr>
          <w:ilvl w:val="0"/>
          <w:numId w:val="1"/>
        </w:numPr>
        <w:spacing w:before="0" w:beforeAutospacing="0" w:after="0" w:afterAutospacing="0"/>
        <w:ind w:left="0" w:firstLine="567"/>
        <w:jc w:val="both"/>
        <w:rPr>
          <w:color w:val="000000"/>
          <w:sz w:val="22"/>
          <w:szCs w:val="22"/>
          <w:lang w:val="uk-UA" w:eastAsia="uk-UA"/>
        </w:rPr>
      </w:pPr>
      <w:r w:rsidRPr="000F4E32">
        <w:rPr>
          <w:color w:val="000000"/>
          <w:sz w:val="22"/>
          <w:szCs w:val="22"/>
          <w:lang w:val="uk-UA" w:eastAsia="uk-UA"/>
        </w:rPr>
        <w:t>прізвище, ім'я, по батькові, адреса та підпис особи, яка надіслала повідомлення, із зазначенням дати;</w:t>
      </w:r>
    </w:p>
    <w:p w:rsidR="00275457" w:rsidRPr="000F4E32" w:rsidRDefault="00275457" w:rsidP="00275457">
      <w:pPr>
        <w:pStyle w:val="a3"/>
        <w:numPr>
          <w:ilvl w:val="0"/>
          <w:numId w:val="1"/>
        </w:numPr>
        <w:spacing w:before="0" w:beforeAutospacing="0" w:after="0" w:afterAutospacing="0"/>
        <w:ind w:left="0" w:firstLine="567"/>
        <w:jc w:val="both"/>
        <w:rPr>
          <w:color w:val="000000"/>
          <w:sz w:val="22"/>
          <w:szCs w:val="22"/>
          <w:lang w:val="uk-UA" w:eastAsia="uk-UA"/>
        </w:rPr>
      </w:pPr>
      <w:r w:rsidRPr="000F4E32">
        <w:rPr>
          <w:color w:val="000000"/>
          <w:sz w:val="22"/>
          <w:szCs w:val="22"/>
          <w:lang w:val="uk-UA" w:eastAsia="uk-UA"/>
        </w:rPr>
        <w:t>у зверненні, поданому на електронні поштові скриньки, може бути вказано електронну поштову адресу, на яку викривачу може бути надіслано відповідь, або зазначено про інші засоби зв'язку з ним.</w:t>
      </w:r>
    </w:p>
    <w:p w:rsidR="00275457" w:rsidRPr="000F4E32" w:rsidRDefault="00275457" w:rsidP="00275457">
      <w:pPr>
        <w:ind w:firstLine="709"/>
        <w:jc w:val="both"/>
        <w:rPr>
          <w:color w:val="000000"/>
          <w:sz w:val="22"/>
          <w:szCs w:val="22"/>
          <w:lang w:val="uk-UA"/>
        </w:rPr>
      </w:pPr>
    </w:p>
    <w:p w:rsidR="00275457" w:rsidRPr="000F4E32" w:rsidRDefault="00275457" w:rsidP="00275457">
      <w:pPr>
        <w:ind w:firstLine="709"/>
        <w:jc w:val="both"/>
        <w:rPr>
          <w:color w:val="000000"/>
          <w:sz w:val="22"/>
          <w:szCs w:val="22"/>
          <w:lang w:val="uk-UA"/>
        </w:rPr>
      </w:pPr>
      <w:r w:rsidRPr="000F4E32">
        <w:rPr>
          <w:color w:val="000000"/>
          <w:sz w:val="22"/>
          <w:szCs w:val="22"/>
          <w:lang w:val="uk-UA"/>
        </w:rPr>
        <w:t xml:space="preserve">Повідомлення про корупцію може бути здійснено без зазначення авторства (анонімно) з використанням будь-якого каналу: через поштову скриньку (93401, Луганська область, </w:t>
      </w:r>
      <w:proofErr w:type="spellStart"/>
      <w:r w:rsidRPr="000F4E32">
        <w:rPr>
          <w:color w:val="000000"/>
          <w:sz w:val="22"/>
          <w:szCs w:val="22"/>
          <w:lang w:val="uk-UA"/>
        </w:rPr>
        <w:t>м.Сєвєродонецьк</w:t>
      </w:r>
      <w:proofErr w:type="spellEnd"/>
      <w:r w:rsidRPr="000F4E32">
        <w:rPr>
          <w:color w:val="000000"/>
          <w:sz w:val="22"/>
          <w:szCs w:val="22"/>
          <w:lang w:val="uk-UA"/>
        </w:rPr>
        <w:t>, вул. Енергетиків, 72, із зазначенням адресата: Відділ з питань запобігання та виявлення корупції ГУ ДПС у Луганській області), через технологічні адреси електронної пошти (</w:t>
      </w:r>
      <w:hyperlink r:id="rId5" w:history="1">
        <w:r w:rsidRPr="000F4E32">
          <w:rPr>
            <w:color w:val="000000"/>
            <w:sz w:val="22"/>
            <w:szCs w:val="22"/>
            <w:lang w:val="uk-UA"/>
          </w:rPr>
          <w:t>lg.vzk@tax.gov.ua</w:t>
        </w:r>
      </w:hyperlink>
      <w:r w:rsidRPr="000F4E32">
        <w:rPr>
          <w:color w:val="000000"/>
          <w:sz w:val="22"/>
          <w:szCs w:val="22"/>
          <w:lang w:val="uk-UA"/>
        </w:rPr>
        <w:t xml:space="preserve">, </w:t>
      </w:r>
      <w:hyperlink r:id="rId6" w:history="1">
        <w:r w:rsidRPr="000F4E32">
          <w:rPr>
            <w:color w:val="000000"/>
            <w:sz w:val="22"/>
            <w:szCs w:val="22"/>
            <w:lang w:val="uk-UA"/>
          </w:rPr>
          <w:t>lg.vzk1232@tax.gov.ua</w:t>
        </w:r>
      </w:hyperlink>
      <w:r w:rsidRPr="000F4E32">
        <w:rPr>
          <w:color w:val="000000"/>
          <w:sz w:val="22"/>
          <w:szCs w:val="22"/>
          <w:lang w:val="uk-UA"/>
        </w:rPr>
        <w:t>), а також засобами телефонного зв'язку або у письмовому вигляді через визначених працівників відділу з питань запобігання та виявлення корупції ГУ ДПС у Луганській області.</w:t>
      </w:r>
    </w:p>
    <w:p w:rsidR="00275457" w:rsidRPr="000F4E32" w:rsidRDefault="00275457" w:rsidP="00275457">
      <w:pPr>
        <w:ind w:firstLine="709"/>
        <w:jc w:val="both"/>
        <w:rPr>
          <w:color w:val="000000"/>
          <w:sz w:val="22"/>
          <w:szCs w:val="22"/>
          <w:lang w:val="uk-UA"/>
        </w:rPr>
      </w:pPr>
      <w:r w:rsidRPr="000F4E32">
        <w:rPr>
          <w:sz w:val="22"/>
          <w:szCs w:val="22"/>
          <w:lang w:val="uk-UA"/>
        </w:rPr>
        <w:t xml:space="preserve">Для забезпечення безперешкодного доступу для подання повідомлення про корупцію та забезпечення зручності процесу подання таких повідомлень </w:t>
      </w:r>
      <w:r w:rsidRPr="000F4E32">
        <w:rPr>
          <w:color w:val="000000"/>
          <w:sz w:val="22"/>
          <w:szCs w:val="22"/>
          <w:lang w:val="uk-UA"/>
        </w:rPr>
        <w:t xml:space="preserve">надаємо робочі номери телефонів працівників підрозділу з питань запобігання та виявлення корупції ГУ ДПС у Луганській області, </w:t>
      </w:r>
      <w:r w:rsidRPr="000F4E32">
        <w:rPr>
          <w:sz w:val="22"/>
          <w:szCs w:val="22"/>
          <w:lang w:val="uk-UA"/>
        </w:rPr>
        <w:t>з використанням яких можливо подати повідомлення</w:t>
      </w:r>
      <w:r w:rsidRPr="000F4E32">
        <w:rPr>
          <w:color w:val="000000"/>
          <w:sz w:val="22"/>
          <w:szCs w:val="22"/>
          <w:lang w:val="uk-UA"/>
        </w:rPr>
        <w:t xml:space="preserve"> про корупцію:</w:t>
      </w:r>
    </w:p>
    <w:p w:rsidR="00275457" w:rsidRPr="000F4E32" w:rsidRDefault="00275457" w:rsidP="00275457">
      <w:pPr>
        <w:ind w:firstLine="709"/>
        <w:jc w:val="both"/>
        <w:rPr>
          <w:color w:val="000000"/>
          <w:sz w:val="22"/>
          <w:szCs w:val="22"/>
          <w:lang w:val="uk-UA"/>
        </w:rPr>
      </w:pPr>
      <w:r w:rsidRPr="000F4E32">
        <w:rPr>
          <w:color w:val="000000"/>
          <w:sz w:val="22"/>
          <w:szCs w:val="22"/>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3"/>
        <w:gridCol w:w="2949"/>
        <w:gridCol w:w="2075"/>
      </w:tblGrid>
      <w:tr w:rsidR="00275457" w:rsidRPr="000F4E32" w:rsidTr="00F171BD">
        <w:tc>
          <w:tcPr>
            <w:tcW w:w="4253" w:type="dxa"/>
          </w:tcPr>
          <w:p w:rsidR="00275457" w:rsidRPr="000F4E32" w:rsidRDefault="00275457" w:rsidP="00F171BD">
            <w:pPr>
              <w:jc w:val="center"/>
              <w:rPr>
                <w:sz w:val="22"/>
                <w:szCs w:val="22"/>
                <w:lang w:val="uk-UA" w:eastAsia="ru-RU"/>
              </w:rPr>
            </w:pPr>
            <w:r w:rsidRPr="000F4E32">
              <w:rPr>
                <w:sz w:val="22"/>
                <w:szCs w:val="22"/>
                <w:lang w:val="uk-UA" w:eastAsia="ru-RU"/>
              </w:rPr>
              <w:t>П.І.Б.</w:t>
            </w:r>
          </w:p>
        </w:tc>
        <w:tc>
          <w:tcPr>
            <w:tcW w:w="2976" w:type="dxa"/>
          </w:tcPr>
          <w:p w:rsidR="00275457" w:rsidRPr="000F4E32" w:rsidRDefault="00275457" w:rsidP="00F171BD">
            <w:pPr>
              <w:jc w:val="center"/>
              <w:rPr>
                <w:sz w:val="22"/>
                <w:szCs w:val="22"/>
                <w:lang w:val="uk-UA" w:eastAsia="ru-RU"/>
              </w:rPr>
            </w:pPr>
            <w:r w:rsidRPr="000F4E32">
              <w:rPr>
                <w:sz w:val="22"/>
                <w:szCs w:val="22"/>
                <w:lang w:val="uk-UA" w:eastAsia="ru-RU"/>
              </w:rPr>
              <w:t>Посада</w:t>
            </w:r>
          </w:p>
        </w:tc>
        <w:tc>
          <w:tcPr>
            <w:tcW w:w="2092" w:type="dxa"/>
          </w:tcPr>
          <w:p w:rsidR="00275457" w:rsidRPr="000F4E32" w:rsidRDefault="00275457" w:rsidP="00F171BD">
            <w:pPr>
              <w:jc w:val="center"/>
              <w:rPr>
                <w:sz w:val="22"/>
                <w:szCs w:val="22"/>
                <w:lang w:val="uk-UA" w:eastAsia="ru-RU"/>
              </w:rPr>
            </w:pPr>
            <w:r w:rsidRPr="000F4E32">
              <w:rPr>
                <w:sz w:val="22"/>
                <w:szCs w:val="22"/>
                <w:lang w:val="uk-UA" w:eastAsia="ru-RU"/>
              </w:rPr>
              <w:t>Телефон</w:t>
            </w:r>
          </w:p>
        </w:tc>
      </w:tr>
      <w:tr w:rsidR="00275457" w:rsidRPr="000F4E32" w:rsidTr="00F171BD">
        <w:trPr>
          <w:trHeight w:val="567"/>
        </w:trPr>
        <w:tc>
          <w:tcPr>
            <w:tcW w:w="4253" w:type="dxa"/>
            <w:vAlign w:val="center"/>
          </w:tcPr>
          <w:p w:rsidR="00275457" w:rsidRPr="000F4E32" w:rsidRDefault="00275457" w:rsidP="00F171BD">
            <w:pPr>
              <w:rPr>
                <w:sz w:val="22"/>
                <w:szCs w:val="22"/>
                <w:lang w:val="uk-UA" w:eastAsia="ru-RU"/>
              </w:rPr>
            </w:pPr>
            <w:r w:rsidRPr="000F4E32">
              <w:rPr>
                <w:sz w:val="22"/>
                <w:szCs w:val="22"/>
                <w:lang w:val="uk-UA" w:eastAsia="ru-RU"/>
              </w:rPr>
              <w:t>Міщенко Микола Васильович</w:t>
            </w:r>
          </w:p>
        </w:tc>
        <w:tc>
          <w:tcPr>
            <w:tcW w:w="2976" w:type="dxa"/>
            <w:vAlign w:val="center"/>
          </w:tcPr>
          <w:p w:rsidR="00275457" w:rsidRPr="000F4E32" w:rsidRDefault="00275457" w:rsidP="00F171BD">
            <w:pPr>
              <w:rPr>
                <w:sz w:val="22"/>
                <w:szCs w:val="22"/>
                <w:lang w:val="uk-UA" w:eastAsia="ru-RU"/>
              </w:rPr>
            </w:pPr>
            <w:r w:rsidRPr="000F4E32">
              <w:rPr>
                <w:sz w:val="22"/>
                <w:szCs w:val="22"/>
                <w:lang w:val="uk-UA" w:eastAsia="ru-RU"/>
              </w:rPr>
              <w:t>Начальник відділу</w:t>
            </w:r>
          </w:p>
        </w:tc>
        <w:tc>
          <w:tcPr>
            <w:tcW w:w="2092" w:type="dxa"/>
            <w:vMerge w:val="restart"/>
            <w:vAlign w:val="center"/>
          </w:tcPr>
          <w:p w:rsidR="00275457" w:rsidRPr="000F4E32" w:rsidRDefault="00275457" w:rsidP="00F171BD">
            <w:pPr>
              <w:rPr>
                <w:sz w:val="22"/>
                <w:szCs w:val="22"/>
                <w:lang w:val="uk-UA" w:eastAsia="ru-RU"/>
              </w:rPr>
            </w:pPr>
            <w:r w:rsidRPr="000F4E32">
              <w:rPr>
                <w:sz w:val="22"/>
                <w:szCs w:val="22"/>
                <w:lang w:val="uk-UA" w:eastAsia="ru-RU"/>
              </w:rPr>
              <w:t>(06452) 4-05-42</w:t>
            </w:r>
          </w:p>
          <w:p w:rsidR="00275457" w:rsidRPr="000F4E32" w:rsidRDefault="00275457" w:rsidP="00F171BD">
            <w:pPr>
              <w:rPr>
                <w:sz w:val="22"/>
                <w:szCs w:val="22"/>
                <w:lang w:val="uk-UA" w:eastAsia="ru-RU"/>
              </w:rPr>
            </w:pPr>
          </w:p>
        </w:tc>
      </w:tr>
      <w:tr w:rsidR="00275457" w:rsidRPr="000F4E32" w:rsidTr="00F171BD">
        <w:tc>
          <w:tcPr>
            <w:tcW w:w="4253" w:type="dxa"/>
            <w:vAlign w:val="center"/>
          </w:tcPr>
          <w:p w:rsidR="00275457" w:rsidRPr="000F4E32" w:rsidRDefault="00275457" w:rsidP="00F171BD">
            <w:pPr>
              <w:rPr>
                <w:sz w:val="22"/>
                <w:szCs w:val="22"/>
                <w:lang w:val="uk-UA" w:eastAsia="ru-RU"/>
              </w:rPr>
            </w:pPr>
            <w:r w:rsidRPr="000F4E32">
              <w:rPr>
                <w:sz w:val="22"/>
                <w:szCs w:val="22"/>
                <w:lang w:val="uk-UA" w:eastAsia="ru-RU"/>
              </w:rPr>
              <w:t>Голуб Сергій Олександрович</w:t>
            </w:r>
          </w:p>
        </w:tc>
        <w:tc>
          <w:tcPr>
            <w:tcW w:w="2976" w:type="dxa"/>
            <w:vAlign w:val="center"/>
          </w:tcPr>
          <w:p w:rsidR="00275457" w:rsidRPr="000F4E32" w:rsidRDefault="00275457" w:rsidP="00F171BD">
            <w:pPr>
              <w:rPr>
                <w:sz w:val="22"/>
                <w:szCs w:val="22"/>
                <w:lang w:val="uk-UA" w:eastAsia="ru-RU"/>
              </w:rPr>
            </w:pPr>
            <w:r w:rsidRPr="000F4E32">
              <w:rPr>
                <w:sz w:val="22"/>
                <w:szCs w:val="22"/>
                <w:lang w:val="uk-UA" w:eastAsia="ru-RU"/>
              </w:rPr>
              <w:t>Заступник начальника відділу</w:t>
            </w:r>
          </w:p>
        </w:tc>
        <w:tc>
          <w:tcPr>
            <w:tcW w:w="2092" w:type="dxa"/>
            <w:vMerge/>
            <w:vAlign w:val="center"/>
          </w:tcPr>
          <w:p w:rsidR="00275457" w:rsidRPr="000F4E32" w:rsidRDefault="00275457" w:rsidP="00F171BD">
            <w:pPr>
              <w:rPr>
                <w:sz w:val="22"/>
                <w:szCs w:val="22"/>
                <w:lang w:val="uk-UA" w:eastAsia="ru-RU"/>
              </w:rPr>
            </w:pPr>
          </w:p>
        </w:tc>
      </w:tr>
      <w:tr w:rsidR="00275457" w:rsidRPr="000F4E32" w:rsidTr="00F171BD">
        <w:tc>
          <w:tcPr>
            <w:tcW w:w="4253" w:type="dxa"/>
            <w:vAlign w:val="center"/>
          </w:tcPr>
          <w:p w:rsidR="00275457" w:rsidRPr="000F4E32" w:rsidRDefault="00275457" w:rsidP="00F171BD">
            <w:pPr>
              <w:rPr>
                <w:sz w:val="22"/>
                <w:szCs w:val="22"/>
                <w:lang w:val="uk-UA" w:eastAsia="ru-RU"/>
              </w:rPr>
            </w:pPr>
            <w:r w:rsidRPr="000F4E32">
              <w:rPr>
                <w:sz w:val="22"/>
                <w:szCs w:val="22"/>
                <w:lang w:val="uk-UA" w:eastAsia="ru-RU"/>
              </w:rPr>
              <w:t>Лоб Євген Вікторович</w:t>
            </w:r>
          </w:p>
        </w:tc>
        <w:tc>
          <w:tcPr>
            <w:tcW w:w="2976" w:type="dxa"/>
            <w:vAlign w:val="center"/>
          </w:tcPr>
          <w:p w:rsidR="00275457" w:rsidRPr="000F4E32" w:rsidRDefault="00275457" w:rsidP="00F171BD">
            <w:pPr>
              <w:rPr>
                <w:sz w:val="22"/>
                <w:szCs w:val="22"/>
                <w:lang w:val="uk-UA" w:eastAsia="ru-RU"/>
              </w:rPr>
            </w:pPr>
            <w:r w:rsidRPr="000F4E32">
              <w:rPr>
                <w:sz w:val="22"/>
                <w:szCs w:val="22"/>
                <w:lang w:val="uk-UA" w:eastAsia="ru-RU"/>
              </w:rPr>
              <w:t>Головний державний ревізор-інспектор</w:t>
            </w:r>
          </w:p>
        </w:tc>
        <w:tc>
          <w:tcPr>
            <w:tcW w:w="2092" w:type="dxa"/>
            <w:vMerge/>
            <w:vAlign w:val="center"/>
          </w:tcPr>
          <w:p w:rsidR="00275457" w:rsidRPr="000F4E32" w:rsidRDefault="00275457" w:rsidP="00F171BD">
            <w:pPr>
              <w:rPr>
                <w:sz w:val="22"/>
                <w:szCs w:val="22"/>
                <w:lang w:val="uk-UA" w:eastAsia="ru-RU"/>
              </w:rPr>
            </w:pPr>
          </w:p>
        </w:tc>
      </w:tr>
      <w:tr w:rsidR="00275457" w:rsidRPr="000F4E32" w:rsidTr="00F171BD">
        <w:tc>
          <w:tcPr>
            <w:tcW w:w="4253" w:type="dxa"/>
            <w:vAlign w:val="center"/>
          </w:tcPr>
          <w:p w:rsidR="00275457" w:rsidRPr="000F4E32" w:rsidRDefault="00275457" w:rsidP="00F171BD">
            <w:pPr>
              <w:rPr>
                <w:sz w:val="22"/>
                <w:szCs w:val="22"/>
                <w:lang w:val="uk-UA" w:eastAsia="ru-RU"/>
              </w:rPr>
            </w:pPr>
            <w:proofErr w:type="spellStart"/>
            <w:r w:rsidRPr="000F4E32">
              <w:rPr>
                <w:sz w:val="22"/>
                <w:szCs w:val="22"/>
                <w:lang w:val="uk-UA" w:eastAsia="ru-RU"/>
              </w:rPr>
              <w:t>Кокора</w:t>
            </w:r>
            <w:proofErr w:type="spellEnd"/>
            <w:r w:rsidRPr="000F4E32">
              <w:rPr>
                <w:sz w:val="22"/>
                <w:szCs w:val="22"/>
                <w:lang w:val="uk-UA" w:eastAsia="ru-RU"/>
              </w:rPr>
              <w:t xml:space="preserve"> Ірина Олександрівна</w:t>
            </w:r>
          </w:p>
        </w:tc>
        <w:tc>
          <w:tcPr>
            <w:tcW w:w="2976" w:type="dxa"/>
            <w:vAlign w:val="center"/>
          </w:tcPr>
          <w:p w:rsidR="00275457" w:rsidRPr="000F4E32" w:rsidRDefault="00275457" w:rsidP="00F171BD">
            <w:pPr>
              <w:rPr>
                <w:sz w:val="22"/>
                <w:szCs w:val="22"/>
                <w:lang w:val="uk-UA" w:eastAsia="ru-RU"/>
              </w:rPr>
            </w:pPr>
            <w:r w:rsidRPr="000F4E32">
              <w:rPr>
                <w:sz w:val="22"/>
                <w:szCs w:val="22"/>
                <w:lang w:val="uk-UA" w:eastAsia="ru-RU"/>
              </w:rPr>
              <w:t>Головний державний ревізор-інспектор</w:t>
            </w:r>
          </w:p>
        </w:tc>
        <w:tc>
          <w:tcPr>
            <w:tcW w:w="2092" w:type="dxa"/>
            <w:vMerge/>
            <w:vAlign w:val="center"/>
          </w:tcPr>
          <w:p w:rsidR="00275457" w:rsidRPr="000F4E32" w:rsidRDefault="00275457" w:rsidP="00F171BD">
            <w:pPr>
              <w:rPr>
                <w:sz w:val="22"/>
                <w:szCs w:val="22"/>
                <w:lang w:val="uk-UA" w:eastAsia="ru-RU"/>
              </w:rPr>
            </w:pPr>
          </w:p>
        </w:tc>
      </w:tr>
      <w:tr w:rsidR="00275457" w:rsidRPr="000F4E32" w:rsidTr="00F171BD">
        <w:tc>
          <w:tcPr>
            <w:tcW w:w="4253" w:type="dxa"/>
            <w:vAlign w:val="center"/>
          </w:tcPr>
          <w:p w:rsidR="00275457" w:rsidRPr="000F4E32" w:rsidRDefault="00275457" w:rsidP="00F171BD">
            <w:pPr>
              <w:rPr>
                <w:sz w:val="22"/>
                <w:szCs w:val="22"/>
                <w:lang w:val="uk-UA" w:eastAsia="ru-RU"/>
              </w:rPr>
            </w:pPr>
            <w:r w:rsidRPr="000F4E32">
              <w:rPr>
                <w:sz w:val="22"/>
                <w:szCs w:val="22"/>
                <w:lang w:val="uk-UA" w:eastAsia="ru-RU"/>
              </w:rPr>
              <w:lastRenderedPageBreak/>
              <w:t>Борис Валентин Володимирович</w:t>
            </w:r>
          </w:p>
        </w:tc>
        <w:tc>
          <w:tcPr>
            <w:tcW w:w="2976" w:type="dxa"/>
            <w:vAlign w:val="center"/>
          </w:tcPr>
          <w:p w:rsidR="00275457" w:rsidRPr="000F4E32" w:rsidRDefault="00275457" w:rsidP="00F171BD">
            <w:pPr>
              <w:rPr>
                <w:sz w:val="22"/>
                <w:szCs w:val="22"/>
                <w:lang w:val="uk-UA" w:eastAsia="ru-RU"/>
              </w:rPr>
            </w:pPr>
            <w:r w:rsidRPr="000F4E32">
              <w:rPr>
                <w:sz w:val="22"/>
                <w:szCs w:val="22"/>
                <w:lang w:val="uk-UA" w:eastAsia="ru-RU"/>
              </w:rPr>
              <w:t>Головний державний ревізор-інспектор</w:t>
            </w:r>
          </w:p>
        </w:tc>
        <w:tc>
          <w:tcPr>
            <w:tcW w:w="2092" w:type="dxa"/>
            <w:vMerge/>
            <w:vAlign w:val="center"/>
          </w:tcPr>
          <w:p w:rsidR="00275457" w:rsidRPr="000F4E32" w:rsidRDefault="00275457" w:rsidP="00F171BD">
            <w:pPr>
              <w:rPr>
                <w:sz w:val="22"/>
                <w:szCs w:val="22"/>
                <w:lang w:val="uk-UA" w:eastAsia="ru-RU"/>
              </w:rPr>
            </w:pPr>
          </w:p>
        </w:tc>
      </w:tr>
    </w:tbl>
    <w:p w:rsidR="00275457" w:rsidRPr="000F4E32" w:rsidRDefault="00275457" w:rsidP="00275457">
      <w:pPr>
        <w:ind w:firstLine="709"/>
        <w:jc w:val="both"/>
        <w:rPr>
          <w:sz w:val="22"/>
          <w:szCs w:val="22"/>
          <w:lang w:val="uk-UA"/>
        </w:rPr>
      </w:pPr>
    </w:p>
    <w:p w:rsidR="00275457" w:rsidRPr="000F4E32" w:rsidRDefault="00275457" w:rsidP="00275457">
      <w:pPr>
        <w:ind w:firstLine="709"/>
        <w:jc w:val="both"/>
        <w:rPr>
          <w:color w:val="000000"/>
          <w:sz w:val="22"/>
          <w:szCs w:val="22"/>
          <w:lang w:val="uk-UA"/>
        </w:rPr>
      </w:pPr>
      <w:r w:rsidRPr="000F4E32">
        <w:rPr>
          <w:b/>
          <w:sz w:val="22"/>
          <w:szCs w:val="22"/>
          <w:lang w:val="uk-UA"/>
        </w:rPr>
        <w:t>Державний захист</w:t>
      </w:r>
      <w:r w:rsidRPr="000F4E32">
        <w:rPr>
          <w:sz w:val="22"/>
          <w:szCs w:val="22"/>
          <w:lang w:val="uk-UA"/>
        </w:rPr>
        <w:t xml:space="preserve">, права та гарантії захисту, захист трудових прав та відповідальність викривача здійснюються відповідно до вимог Закону України "Про запобігання корупції" (п.6.4 </w:t>
      </w:r>
      <w:r w:rsidRPr="000F4E32">
        <w:rPr>
          <w:color w:val="000000"/>
          <w:sz w:val="22"/>
          <w:szCs w:val="22"/>
          <w:lang w:val="uk-UA"/>
        </w:rPr>
        <w:t>Наказу Державної податкової служби України від 27.02.2020 №108).</w:t>
      </w:r>
    </w:p>
    <w:p w:rsidR="00275457" w:rsidRPr="000F4E32" w:rsidRDefault="00275457" w:rsidP="00275457">
      <w:pPr>
        <w:ind w:firstLine="709"/>
        <w:jc w:val="both"/>
        <w:rPr>
          <w:sz w:val="22"/>
          <w:szCs w:val="22"/>
          <w:lang w:val="uk-UA"/>
        </w:rPr>
      </w:pPr>
    </w:p>
    <w:p w:rsidR="00275457" w:rsidRPr="000F4E32" w:rsidRDefault="00275457" w:rsidP="00275457">
      <w:pPr>
        <w:ind w:firstLine="5220"/>
        <w:jc w:val="right"/>
        <w:rPr>
          <w:b/>
          <w:color w:val="333333"/>
          <w:lang w:val="uk-UA"/>
        </w:rPr>
      </w:pPr>
      <w:r w:rsidRPr="000F4E32">
        <w:rPr>
          <w:b/>
          <w:sz w:val="22"/>
          <w:szCs w:val="22"/>
          <w:lang w:val="uk-UA"/>
        </w:rPr>
        <w:t>Відділ з питань запобігання та виявлення корупції</w:t>
      </w:r>
      <w:r w:rsidRPr="000F4E32">
        <w:rPr>
          <w:sz w:val="22"/>
          <w:szCs w:val="22"/>
          <w:lang w:val="uk-UA"/>
        </w:rPr>
        <w:t xml:space="preserve"> </w:t>
      </w:r>
      <w:r w:rsidRPr="000F4E32">
        <w:rPr>
          <w:b/>
          <w:sz w:val="22"/>
          <w:szCs w:val="22"/>
          <w:lang w:val="uk-UA"/>
        </w:rPr>
        <w:t>ГУ у Луганській обл</w:t>
      </w:r>
      <w:r w:rsidRPr="000F4E32">
        <w:rPr>
          <w:b/>
          <w:lang w:val="uk-UA"/>
        </w:rPr>
        <w:t>асті</w:t>
      </w:r>
      <w:r w:rsidRPr="000F4E32">
        <w:rPr>
          <w:lang w:val="uk-UA"/>
        </w:rPr>
        <w:t xml:space="preserve"> </w:t>
      </w:r>
    </w:p>
    <w:p w:rsidR="00D55977" w:rsidRPr="00275457" w:rsidRDefault="00D55977">
      <w:pPr>
        <w:rPr>
          <w:lang w:val="uk-UA"/>
        </w:rPr>
      </w:pPr>
      <w:bookmarkStart w:id="0" w:name="_GoBack"/>
      <w:bookmarkEnd w:id="0"/>
    </w:p>
    <w:sectPr w:rsidR="00D55977" w:rsidRPr="002754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Aria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462103"/>
    <w:multiLevelType w:val="hybridMultilevel"/>
    <w:tmpl w:val="72D6FE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62"/>
    <w:rsid w:val="00034CA3"/>
    <w:rsid w:val="001015E9"/>
    <w:rsid w:val="00265C4C"/>
    <w:rsid w:val="00275457"/>
    <w:rsid w:val="00630662"/>
    <w:rsid w:val="006569F0"/>
    <w:rsid w:val="006A0E28"/>
    <w:rsid w:val="00856A78"/>
    <w:rsid w:val="00D41377"/>
    <w:rsid w:val="00D55977"/>
    <w:rsid w:val="00DE6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3361"/>
  <w15:chartTrackingRefBased/>
  <w15:docId w15:val="{003B41E2-0A50-4052-A117-6FBAFBF2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C4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65C4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65C4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265C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g.vzk1232@tax.gov.ua" TargetMode="External"/><Relationship Id="rId5" Type="http://schemas.openxmlformats.org/officeDocument/2006/relationships/hyperlink" Target="mailto:lg.vzk@tax.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592</Words>
  <Characters>3378</Characters>
  <Application>Microsoft Office Word</Application>
  <DocSecurity>0</DocSecurity>
  <Lines>28</Lines>
  <Paragraphs>7</Paragraphs>
  <ScaleCrop>false</ScaleCrop>
  <Company>SPecialiST RePack</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10</cp:revision>
  <dcterms:created xsi:type="dcterms:W3CDTF">2020-04-28T07:19:00Z</dcterms:created>
  <dcterms:modified xsi:type="dcterms:W3CDTF">2020-04-28T07:36:00Z</dcterms:modified>
</cp:coreProperties>
</file>