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6A4" w:rsidRPr="00095F31" w:rsidRDefault="008276A4" w:rsidP="008276A4">
      <w:pPr>
        <w:pStyle w:val="a3"/>
        <w:shd w:val="clear" w:color="auto" w:fill="FFFFFF"/>
        <w:spacing w:before="0" w:beforeAutospacing="0" w:after="0" w:afterAutospacing="0"/>
        <w:jc w:val="center"/>
        <w:rPr>
          <w:b/>
          <w:color w:val="4A4A4A"/>
          <w:sz w:val="22"/>
          <w:szCs w:val="22"/>
          <w:bdr w:val="none" w:sz="0" w:space="0" w:color="auto" w:frame="1"/>
        </w:rPr>
      </w:pPr>
      <w:r w:rsidRPr="00095F31">
        <w:rPr>
          <w:b/>
          <w:color w:val="4A4A4A"/>
          <w:sz w:val="22"/>
          <w:szCs w:val="22"/>
          <w:bdr w:val="none" w:sz="0" w:space="0" w:color="auto" w:frame="1"/>
        </w:rPr>
        <w:t>Актуальні питання, пов’язані із запровадженням програмних РРО</w:t>
      </w:r>
    </w:p>
    <w:p w:rsidR="008276A4" w:rsidRPr="00095F31" w:rsidRDefault="008276A4" w:rsidP="008276A4">
      <w:pPr>
        <w:pStyle w:val="a3"/>
        <w:shd w:val="clear" w:color="auto" w:fill="FFFFFF"/>
        <w:spacing w:before="0" w:beforeAutospacing="0" w:after="0" w:afterAutospacing="0"/>
        <w:jc w:val="both"/>
        <w:rPr>
          <w:color w:val="4A4A4A"/>
          <w:sz w:val="22"/>
          <w:szCs w:val="22"/>
          <w:bdr w:val="none" w:sz="0" w:space="0" w:color="auto" w:frame="1"/>
        </w:rPr>
      </w:pPr>
    </w:p>
    <w:p w:rsidR="008276A4" w:rsidRPr="00095F31" w:rsidRDefault="008276A4" w:rsidP="008276A4">
      <w:pPr>
        <w:pStyle w:val="a3"/>
        <w:shd w:val="clear" w:color="auto" w:fill="FFFFFF"/>
        <w:spacing w:before="0" w:beforeAutospacing="0" w:after="0" w:afterAutospacing="0"/>
        <w:jc w:val="both"/>
        <w:rPr>
          <w:color w:val="4A4A4A"/>
          <w:sz w:val="22"/>
          <w:szCs w:val="22"/>
          <w:bdr w:val="none" w:sz="0" w:space="0" w:color="auto" w:frame="1"/>
        </w:rPr>
      </w:pPr>
      <w:r w:rsidRPr="00095F31">
        <w:rPr>
          <w:color w:val="4A4A4A"/>
          <w:sz w:val="22"/>
          <w:szCs w:val="22"/>
          <w:bdr w:val="none" w:sz="0" w:space="0" w:color="auto" w:frame="1"/>
        </w:rPr>
        <w:t>1. У який момент часу формується діапазон номерів для ПРРО і яким чином він поповнюється?</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Перша порція діапазону номерів (2000) видається під час реєстрації ПРРО.</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За заявою суб’єкта господарювання таку кількість може бути збільшено, виходячи із розрахунку максимальної кількості розрахункових документів (чеків), які формуються ПРРО в режимі онлайн протягом 36 годин безперервно протягом календарного року.</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Щоразу після приймання фіскальним сервером ДПС від ПРРО пакета створених ним копій чеків із присвоєними ним фіскальними номерами із діапазону, для такого ПРРО формується наступна порція фіскальних номерів.</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Кількість виданих (зарезервованих) номерів відповідає кількості отриманих фіскальним сервером (використаних таким ПРРО) номерів.</w:t>
      </w:r>
    </w:p>
    <w:p w:rsidR="008276A4" w:rsidRPr="00095F31" w:rsidRDefault="008276A4" w:rsidP="008276A4">
      <w:pPr>
        <w:pStyle w:val="a3"/>
        <w:shd w:val="clear" w:color="auto" w:fill="FFFFFF"/>
        <w:spacing w:before="0" w:beforeAutospacing="0" w:after="0" w:afterAutospacing="0"/>
        <w:jc w:val="both"/>
        <w:rPr>
          <w:color w:val="4A4A4A"/>
          <w:sz w:val="22"/>
          <w:szCs w:val="22"/>
          <w:bdr w:val="none" w:sz="0" w:space="0" w:color="auto" w:frame="1"/>
        </w:rPr>
      </w:pPr>
      <w:r w:rsidRPr="00095F31">
        <w:rPr>
          <w:color w:val="4A4A4A"/>
          <w:sz w:val="22"/>
          <w:szCs w:val="22"/>
          <w:bdr w:val="none" w:sz="0" w:space="0" w:color="auto" w:frame="1"/>
        </w:rPr>
        <w:t>2. У який момент списуються фіскальні номери із виданого фіскальним сервером ДПС діапазону номерів для відповідного ПРРО?</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Засобами фіскального сервера ведеться облік виданих діапазонів для ПРРО із присвоєнням відповідного статусу фіскальним номерам: зарезервовані (видані, але не направлені до фіскального сервера), використані (направлені до фіскального сервера та прийняті фіскальним сервером розрахункові документи з присвоєними фіскальними номерами з діапазону).</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Фіскальний сервер формує та видає нові фіскальні номери на заміну використаним щоразу після приймання від ПРРО пакета створених розрахункових документів з фіскальними номерами. Таким номерам присвоюється статус «використані».</w:t>
      </w:r>
    </w:p>
    <w:p w:rsidR="008276A4" w:rsidRPr="00095F31" w:rsidRDefault="008276A4" w:rsidP="008276A4">
      <w:pPr>
        <w:pStyle w:val="a3"/>
        <w:shd w:val="clear" w:color="auto" w:fill="FFFFFF"/>
        <w:spacing w:before="0" w:beforeAutospacing="0" w:after="0" w:afterAutospacing="0"/>
        <w:jc w:val="both"/>
        <w:rPr>
          <w:color w:val="4A4A4A"/>
          <w:sz w:val="22"/>
          <w:szCs w:val="22"/>
          <w:bdr w:val="none" w:sz="0" w:space="0" w:color="auto" w:frame="1"/>
        </w:rPr>
      </w:pPr>
      <w:r w:rsidRPr="00095F31">
        <w:rPr>
          <w:color w:val="4A4A4A"/>
          <w:sz w:val="22"/>
          <w:szCs w:val="22"/>
          <w:bdr w:val="none" w:sz="0" w:space="0" w:color="auto" w:frame="1"/>
        </w:rPr>
        <w:t>3. З якого часу здійснюється відлік 36 годин, дозволених для роботи ПРРО в режимі офлайн?</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Відлік часу, протягом якого ПРРО працював у режимі офлайн, починається від дати та часу, зазначених у повідомленні про проведення розрахункових операцій в режимі офлайн з відміткою «початок переведення ПРРО в режим офлайн», до дати та часу, зазначених у повідомленні з відміткою «завершення режиму офлайн», а також від дати та часу, зазначених у повідомленні з відміткою «завершення режиму офлайн», до дати та часу, зазначених у повідомленні з відміткою «початок переведення ПРРО в режим офлайн», якщо в період між такими строками фіскальним сервером не було зареєстровано розрахункових документів у режимі онлайн-обміну.</w:t>
      </w:r>
    </w:p>
    <w:p w:rsidR="008276A4" w:rsidRPr="00095F31" w:rsidRDefault="008276A4" w:rsidP="008276A4">
      <w:pPr>
        <w:pStyle w:val="a3"/>
        <w:shd w:val="clear" w:color="auto" w:fill="FFFFFF"/>
        <w:spacing w:before="0" w:beforeAutospacing="0" w:after="0" w:afterAutospacing="0"/>
        <w:jc w:val="both"/>
        <w:rPr>
          <w:color w:val="4A4A4A"/>
          <w:sz w:val="22"/>
          <w:szCs w:val="22"/>
          <w:bdr w:val="none" w:sz="0" w:space="0" w:color="auto" w:frame="1"/>
        </w:rPr>
      </w:pPr>
      <w:r w:rsidRPr="00095F31">
        <w:rPr>
          <w:color w:val="4A4A4A"/>
          <w:sz w:val="22"/>
          <w:szCs w:val="22"/>
          <w:bdr w:val="none" w:sz="0" w:space="0" w:color="auto" w:frame="1"/>
        </w:rPr>
        <w:t>4. Чи накладається електронна мітка часу на розрахункові документи, що створюються ПРРО в режимі офлайн?</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Під час роботи ПРРО в період відсутності зв’язку між ПРРО та фіскальним сервером та за наявності інтернет-зв’язку або мобільного інтернет-зв’язку електронна позначка часу на розрахункові документи накладається надавачем електронних довірчих послуг.</w:t>
      </w:r>
    </w:p>
    <w:p w:rsidR="008276A4" w:rsidRPr="00095F31" w:rsidRDefault="008276A4" w:rsidP="008276A4">
      <w:pPr>
        <w:pStyle w:val="a3"/>
        <w:shd w:val="clear" w:color="auto" w:fill="FFFFFF"/>
        <w:spacing w:before="0" w:beforeAutospacing="0" w:after="0" w:afterAutospacing="0"/>
        <w:jc w:val="both"/>
        <w:rPr>
          <w:color w:val="4A4A4A"/>
          <w:sz w:val="22"/>
          <w:szCs w:val="22"/>
          <w:bdr w:val="none" w:sz="0" w:space="0" w:color="auto" w:frame="1"/>
        </w:rPr>
      </w:pPr>
      <w:r w:rsidRPr="00095F31">
        <w:rPr>
          <w:color w:val="4A4A4A"/>
          <w:sz w:val="22"/>
          <w:szCs w:val="22"/>
          <w:bdr w:val="none" w:sz="0" w:space="0" w:color="auto" w:frame="1"/>
        </w:rPr>
        <w:t>5. Яким чином покупець зможе перевірити розрахунковий документ (чек), виданий ПРРО, що працює в режимі в оффлайн?</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У розрахунковому документі (чеку) має обов’язково бути наявна позначка про проведення розрахункової операції в режимі офлайн.</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Перевірити наявність цього чеку в базі даних ДПС можливо через Електронний кабінет після завершення роботи ПРРО в режимі офлайн та передачі ним чека/чеків до фіскального сервера.</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Інформація про фіскальні номери, що увійшли до діапазону для використання ПРРО, що працює у режимі офлайн, буде оприлюднена в Електронному кабінеті із зазначенням даних про фіскальний номер ПРРО та про суб’єкта господарювання, для ПРРО якого зарезервовано фіскальні номери.</w:t>
      </w:r>
    </w:p>
    <w:p w:rsidR="008276A4" w:rsidRPr="00095F31" w:rsidRDefault="008276A4" w:rsidP="008276A4">
      <w:pPr>
        <w:pStyle w:val="a3"/>
        <w:shd w:val="clear" w:color="auto" w:fill="FFFFFF"/>
        <w:spacing w:before="0" w:beforeAutospacing="0" w:after="0" w:afterAutospacing="0"/>
        <w:jc w:val="both"/>
        <w:rPr>
          <w:color w:val="4A4A4A"/>
          <w:sz w:val="22"/>
          <w:szCs w:val="22"/>
          <w:bdr w:val="none" w:sz="0" w:space="0" w:color="auto" w:frame="1"/>
        </w:rPr>
      </w:pPr>
      <w:r w:rsidRPr="00095F31">
        <w:rPr>
          <w:color w:val="4A4A4A"/>
          <w:sz w:val="22"/>
          <w:szCs w:val="22"/>
          <w:bdr w:val="none" w:sz="0" w:space="0" w:color="auto" w:frame="1"/>
        </w:rPr>
        <w:t>6. Чи може один суб’єкт господарювання реєструвати та застосовувати ПРРО поряд із класичними РРО?</w:t>
      </w:r>
    </w:p>
    <w:p w:rsidR="008276A4" w:rsidRPr="00095F31" w:rsidRDefault="008276A4" w:rsidP="008276A4">
      <w:pPr>
        <w:pStyle w:val="a3"/>
        <w:shd w:val="clear" w:color="auto" w:fill="FFFFFF"/>
        <w:spacing w:before="0" w:beforeAutospacing="0" w:after="225" w:afterAutospacing="0"/>
        <w:jc w:val="both"/>
        <w:rPr>
          <w:color w:val="4A4A4A"/>
          <w:sz w:val="22"/>
          <w:szCs w:val="22"/>
          <w:bdr w:val="none" w:sz="0" w:space="0" w:color="auto" w:frame="1"/>
        </w:rPr>
      </w:pPr>
      <w:r w:rsidRPr="00095F31">
        <w:rPr>
          <w:color w:val="4A4A4A"/>
          <w:sz w:val="22"/>
          <w:szCs w:val="22"/>
          <w:bdr w:val="none" w:sz="0" w:space="0" w:color="auto" w:frame="1"/>
        </w:rPr>
        <w:t>Законодавчо не встановлено заборон та обмежень щодо застосування одним суб’єктом господарювання ПРРО поряд із класичними РРО.   </w:t>
      </w:r>
    </w:p>
    <w:p w:rsidR="008276A4" w:rsidRPr="00095F31" w:rsidRDefault="008276A4" w:rsidP="008276A4">
      <w:pPr>
        <w:pStyle w:val="nospacing"/>
        <w:shd w:val="clear" w:color="auto" w:fill="FFFFFF"/>
        <w:spacing w:before="0" w:beforeAutospacing="0" w:after="0" w:afterAutospacing="0"/>
        <w:ind w:firstLine="567"/>
        <w:jc w:val="right"/>
        <w:rPr>
          <w:b/>
          <w:color w:val="4A4A4A"/>
          <w:sz w:val="22"/>
          <w:szCs w:val="22"/>
          <w:bdr w:val="none" w:sz="0" w:space="0" w:color="auto" w:frame="1"/>
        </w:rPr>
      </w:pPr>
      <w:r w:rsidRPr="00095F31">
        <w:rPr>
          <w:b/>
          <w:color w:val="4A4A4A"/>
          <w:sz w:val="22"/>
          <w:szCs w:val="22"/>
          <w:bdr w:val="none" w:sz="0" w:space="0" w:color="auto" w:frame="1"/>
        </w:rPr>
        <w:lastRenderedPageBreak/>
        <w:t>Старобільське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217636"/>
    <w:rsid w:val="002F7BE1"/>
    <w:rsid w:val="0040285F"/>
    <w:rsid w:val="00461EE2"/>
    <w:rsid w:val="004776B2"/>
    <w:rsid w:val="00497C09"/>
    <w:rsid w:val="004B6BC6"/>
    <w:rsid w:val="005026AD"/>
    <w:rsid w:val="00505A56"/>
    <w:rsid w:val="005A64ED"/>
    <w:rsid w:val="00703002"/>
    <w:rsid w:val="0072366C"/>
    <w:rsid w:val="00776D1E"/>
    <w:rsid w:val="007B2085"/>
    <w:rsid w:val="008276A4"/>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B01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Pages>2</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30</cp:revision>
  <dcterms:created xsi:type="dcterms:W3CDTF">2020-04-13T07:31:00Z</dcterms:created>
  <dcterms:modified xsi:type="dcterms:W3CDTF">2020-07-01T09:07:00Z</dcterms:modified>
</cp:coreProperties>
</file>